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B1301" w14:textId="77777777" w:rsidR="00996060" w:rsidRDefault="00996060" w:rsidP="00082242">
      <w:pPr>
        <w:rPr>
          <w:rFonts w:ascii="Aptos" w:hAnsi="Aptos"/>
          <w:b/>
          <w:bCs/>
          <w:sz w:val="24"/>
          <w:szCs w:val="24"/>
        </w:rPr>
      </w:pPr>
    </w:p>
    <w:p w14:paraId="13780B5D" w14:textId="77777777" w:rsidR="005D077F" w:rsidRDefault="005D077F" w:rsidP="00082242">
      <w:pPr>
        <w:rPr>
          <w:rFonts w:ascii="Aptos" w:hAnsi="Aptos"/>
          <w:b/>
          <w:bCs/>
          <w:sz w:val="24"/>
          <w:szCs w:val="24"/>
        </w:rPr>
      </w:pPr>
    </w:p>
    <w:p w14:paraId="6E83EE0F" w14:textId="3DE72F19" w:rsidR="005C1D3D" w:rsidRDefault="005D077F" w:rsidP="00476119">
      <w:pPr>
        <w:jc w:val="center"/>
        <w:rPr>
          <w:rFonts w:ascii="Aptos" w:hAnsi="Aptos"/>
          <w:b/>
          <w:bCs/>
          <w:sz w:val="44"/>
          <w:szCs w:val="44"/>
        </w:rPr>
      </w:pPr>
      <w:r w:rsidRPr="005D077F">
        <w:rPr>
          <w:rFonts w:ascii="Aptos" w:hAnsi="Aptos"/>
          <w:b/>
          <w:bCs/>
          <w:sz w:val="44"/>
          <w:szCs w:val="44"/>
        </w:rPr>
        <w:t xml:space="preserve">2024 PLANNING </w:t>
      </w:r>
      <w:r>
        <w:rPr>
          <w:rFonts w:ascii="Aptos" w:hAnsi="Aptos"/>
          <w:b/>
          <w:bCs/>
          <w:sz w:val="44"/>
          <w:szCs w:val="44"/>
        </w:rPr>
        <w:t>&amp;</w:t>
      </w:r>
      <w:r w:rsidRPr="005D077F">
        <w:rPr>
          <w:rFonts w:ascii="Aptos" w:hAnsi="Aptos"/>
          <w:b/>
          <w:bCs/>
          <w:sz w:val="44"/>
          <w:szCs w:val="44"/>
        </w:rPr>
        <w:t xml:space="preserve"> ZONING CODE UPDATE</w:t>
      </w:r>
    </w:p>
    <w:p w14:paraId="401DECFC" w14:textId="03248774" w:rsidR="005D077F" w:rsidRPr="005D077F" w:rsidRDefault="005D077F" w:rsidP="00476119">
      <w:pPr>
        <w:jc w:val="center"/>
        <w:rPr>
          <w:rFonts w:ascii="Aptos" w:hAnsi="Aptos"/>
          <w:sz w:val="36"/>
          <w:szCs w:val="36"/>
        </w:rPr>
      </w:pPr>
      <w:r w:rsidRPr="005D077F">
        <w:rPr>
          <w:rFonts w:ascii="Aptos" w:hAnsi="Aptos"/>
          <w:sz w:val="36"/>
          <w:szCs w:val="36"/>
        </w:rPr>
        <w:t>SUMMARY OF CHANGES &amp; NEW CHAPTERS</w:t>
      </w:r>
    </w:p>
    <w:p w14:paraId="2AFA3D0D" w14:textId="77777777" w:rsidR="00CA1084" w:rsidRDefault="00CA1084" w:rsidP="003A0A7B">
      <w:pPr>
        <w:rPr>
          <w:rFonts w:ascii="Aptos" w:hAnsi="Aptos"/>
        </w:rPr>
      </w:pPr>
    </w:p>
    <w:p w14:paraId="21E02BE7" w14:textId="77777777" w:rsidR="00CA1084" w:rsidRDefault="00CA1084" w:rsidP="00BA1D98">
      <w:pPr>
        <w:ind w:firstLine="720"/>
        <w:rPr>
          <w:rFonts w:ascii="Aptos" w:hAnsi="Aptos"/>
        </w:rPr>
      </w:pPr>
    </w:p>
    <w:p w14:paraId="77951401" w14:textId="30D3F756" w:rsidR="001C3D3C" w:rsidRDefault="001C3D3C" w:rsidP="00777DCB">
      <w:pPr>
        <w:rPr>
          <w:rFonts w:ascii="Aptos" w:hAnsi="Aptos"/>
        </w:rPr>
      </w:pPr>
    </w:p>
    <w:p w14:paraId="5FEC8A12" w14:textId="77777777" w:rsidR="00777DCB" w:rsidRDefault="00777DCB" w:rsidP="00777DCB">
      <w:pPr>
        <w:rPr>
          <w:rFonts w:ascii="Aptos" w:hAnsi="Aptos"/>
        </w:rPr>
      </w:pPr>
    </w:p>
    <w:p w14:paraId="4169B97E" w14:textId="1EFA45CD" w:rsidR="001C3D3C" w:rsidRDefault="001C3D3C" w:rsidP="00BA1D98">
      <w:pPr>
        <w:ind w:firstLine="720"/>
        <w:rPr>
          <w:rFonts w:ascii="Aptos" w:hAnsi="Aptos"/>
        </w:rPr>
      </w:pPr>
    </w:p>
    <w:p w14:paraId="2F7A9FB5" w14:textId="05F87741" w:rsidR="00CA1084" w:rsidRDefault="001C3D3C" w:rsidP="00476119">
      <w:pPr>
        <w:jc w:val="center"/>
        <w:rPr>
          <w:rFonts w:ascii="Aptos" w:hAnsi="Aptos"/>
          <w:sz w:val="28"/>
          <w:szCs w:val="28"/>
        </w:rPr>
      </w:pPr>
      <w:r w:rsidRPr="001C3D3C">
        <w:rPr>
          <w:rFonts w:ascii="Aptos" w:hAnsi="Aptos"/>
          <w:sz w:val="28"/>
          <w:szCs w:val="28"/>
        </w:rPr>
        <w:t>DRAFTS OF EACH CHAPTER CAN BE FOUND AT DELAWAREOHIO.NET/</w:t>
      </w:r>
      <w:r>
        <w:rPr>
          <w:rFonts w:ascii="Aptos" w:hAnsi="Aptos"/>
          <w:sz w:val="28"/>
          <w:szCs w:val="28"/>
        </w:rPr>
        <w:t>ZONINGCODE</w:t>
      </w:r>
    </w:p>
    <w:p w14:paraId="35BDC2AB" w14:textId="2803AF17" w:rsidR="00476119" w:rsidRPr="001C3D3C" w:rsidRDefault="00476119" w:rsidP="00476119">
      <w:pPr>
        <w:jc w:val="center"/>
        <w:rPr>
          <w:rFonts w:ascii="Aptos" w:hAnsi="Aptos"/>
          <w:sz w:val="28"/>
          <w:szCs w:val="28"/>
        </w:rPr>
      </w:pPr>
      <w:r>
        <w:rPr>
          <w:rFonts w:ascii="Aptos" w:hAnsi="Aptos"/>
          <w:noProof/>
          <w:sz w:val="28"/>
          <w:szCs w:val="28"/>
        </w:rPr>
        <w:drawing>
          <wp:anchor distT="0" distB="0" distL="114300" distR="114300" simplePos="0" relativeHeight="251658240" behindDoc="0" locked="0" layoutInCell="1" allowOverlap="1" wp14:anchorId="69C9A79B" wp14:editId="447E8F85">
            <wp:simplePos x="0" y="0"/>
            <wp:positionH relativeFrom="margin">
              <wp:align>center</wp:align>
            </wp:positionH>
            <wp:positionV relativeFrom="paragraph">
              <wp:posOffset>13320</wp:posOffset>
            </wp:positionV>
            <wp:extent cx="956930" cy="956930"/>
            <wp:effectExtent l="0" t="0" r="0" b="0"/>
            <wp:wrapNone/>
            <wp:docPr id="496377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716" w:tblpY="-479"/>
        <w:tblW w:w="14395" w:type="dxa"/>
        <w:tblLook w:val="04A0" w:firstRow="1" w:lastRow="0" w:firstColumn="1" w:lastColumn="0" w:noHBand="0" w:noVBand="1"/>
      </w:tblPr>
      <w:tblGrid>
        <w:gridCol w:w="976"/>
        <w:gridCol w:w="2404"/>
        <w:gridCol w:w="4897"/>
        <w:gridCol w:w="6118"/>
      </w:tblGrid>
      <w:tr w:rsidR="00DA4A14" w14:paraId="634C95C4" w14:textId="77777777" w:rsidTr="00777DCB">
        <w:tc>
          <w:tcPr>
            <w:tcW w:w="976" w:type="dxa"/>
            <w:shd w:val="clear" w:color="auto" w:fill="B8CCE4" w:themeFill="accent1" w:themeFillTint="66"/>
          </w:tcPr>
          <w:p w14:paraId="4B802782" w14:textId="77777777" w:rsidR="005D077F" w:rsidRPr="00D24B69" w:rsidRDefault="005D077F" w:rsidP="00B635DD">
            <w:pPr>
              <w:jc w:val="center"/>
              <w:rPr>
                <w:rFonts w:ascii="Aptos" w:hAnsi="Aptos"/>
                <w:b/>
                <w:bCs/>
                <w:sz w:val="20"/>
                <w:szCs w:val="20"/>
              </w:rPr>
            </w:pPr>
            <w:r w:rsidRPr="00D24B69">
              <w:rPr>
                <w:rFonts w:ascii="Aptos" w:hAnsi="Aptos"/>
                <w:b/>
                <w:bCs/>
                <w:sz w:val="20"/>
                <w:szCs w:val="20"/>
              </w:rPr>
              <w:lastRenderedPageBreak/>
              <w:t>Chapter</w:t>
            </w:r>
          </w:p>
        </w:tc>
        <w:tc>
          <w:tcPr>
            <w:tcW w:w="2079" w:type="dxa"/>
            <w:shd w:val="clear" w:color="auto" w:fill="B8CCE4" w:themeFill="accent1" w:themeFillTint="66"/>
          </w:tcPr>
          <w:p w14:paraId="448077D5" w14:textId="29163C9B" w:rsidR="005D077F" w:rsidRPr="00254D1D" w:rsidRDefault="005D077F" w:rsidP="00B635DD">
            <w:pPr>
              <w:rPr>
                <w:rFonts w:ascii="Aptos" w:hAnsi="Aptos"/>
                <w:b/>
                <w:bCs/>
                <w:sz w:val="20"/>
                <w:szCs w:val="20"/>
              </w:rPr>
            </w:pPr>
            <w:r w:rsidRPr="00254D1D">
              <w:rPr>
                <w:rFonts w:ascii="Aptos" w:hAnsi="Aptos"/>
                <w:b/>
                <w:bCs/>
                <w:sz w:val="20"/>
                <w:szCs w:val="20"/>
              </w:rPr>
              <w:t>Title</w:t>
            </w:r>
          </w:p>
        </w:tc>
        <w:tc>
          <w:tcPr>
            <w:tcW w:w="5034" w:type="dxa"/>
            <w:shd w:val="clear" w:color="auto" w:fill="B8CCE4" w:themeFill="accent1" w:themeFillTint="66"/>
          </w:tcPr>
          <w:p w14:paraId="0E787FB2" w14:textId="7DE808CB" w:rsidR="005D077F" w:rsidRPr="00D24B69" w:rsidRDefault="00777DCB" w:rsidP="00B635DD">
            <w:pPr>
              <w:rPr>
                <w:rFonts w:ascii="Aptos" w:hAnsi="Aptos"/>
                <w:b/>
                <w:bCs/>
                <w:sz w:val="20"/>
                <w:szCs w:val="20"/>
              </w:rPr>
            </w:pPr>
            <w:r>
              <w:rPr>
                <w:rFonts w:ascii="Aptos" w:hAnsi="Aptos"/>
                <w:b/>
                <w:bCs/>
                <w:sz w:val="20"/>
                <w:szCs w:val="20"/>
              </w:rPr>
              <w:t>Proposed Changes</w:t>
            </w:r>
          </w:p>
        </w:tc>
        <w:tc>
          <w:tcPr>
            <w:tcW w:w="6306" w:type="dxa"/>
            <w:shd w:val="clear" w:color="auto" w:fill="B8CCE4" w:themeFill="accent1" w:themeFillTint="66"/>
          </w:tcPr>
          <w:p w14:paraId="3FC77E7F" w14:textId="40EC738E" w:rsidR="005D077F" w:rsidRPr="00D24B69" w:rsidRDefault="00777DCB" w:rsidP="00B635DD">
            <w:pPr>
              <w:rPr>
                <w:rFonts w:ascii="Aptos" w:hAnsi="Aptos"/>
                <w:b/>
                <w:bCs/>
                <w:sz w:val="20"/>
                <w:szCs w:val="20"/>
              </w:rPr>
            </w:pPr>
            <w:r>
              <w:rPr>
                <w:rFonts w:ascii="Aptos" w:hAnsi="Aptos"/>
                <w:b/>
                <w:bCs/>
                <w:sz w:val="20"/>
                <w:szCs w:val="20"/>
              </w:rPr>
              <w:t>Reasoning</w:t>
            </w:r>
          </w:p>
        </w:tc>
      </w:tr>
      <w:tr w:rsidR="00DA4A14" w14:paraId="2B129936" w14:textId="77777777" w:rsidTr="00777DCB">
        <w:tc>
          <w:tcPr>
            <w:tcW w:w="976" w:type="dxa"/>
            <w:shd w:val="clear" w:color="auto" w:fill="D9D9D9" w:themeFill="background1" w:themeFillShade="D9"/>
          </w:tcPr>
          <w:p w14:paraId="0C1A72EC" w14:textId="77777777" w:rsidR="005D077F" w:rsidRPr="00D7711C" w:rsidRDefault="005D077F" w:rsidP="00B635DD">
            <w:pPr>
              <w:jc w:val="center"/>
              <w:rPr>
                <w:rFonts w:ascii="Aptos" w:hAnsi="Aptos"/>
                <w:b/>
                <w:bCs/>
                <w:sz w:val="20"/>
                <w:szCs w:val="20"/>
              </w:rPr>
            </w:pPr>
            <w:r w:rsidRPr="00D7711C">
              <w:rPr>
                <w:rFonts w:ascii="Aptos" w:hAnsi="Aptos"/>
                <w:b/>
                <w:bCs/>
                <w:sz w:val="20"/>
                <w:szCs w:val="20"/>
              </w:rPr>
              <w:t>1101</w:t>
            </w:r>
          </w:p>
        </w:tc>
        <w:tc>
          <w:tcPr>
            <w:tcW w:w="2079" w:type="dxa"/>
            <w:shd w:val="clear" w:color="auto" w:fill="D9D9D9" w:themeFill="background1" w:themeFillShade="D9"/>
          </w:tcPr>
          <w:p w14:paraId="0BD3190D" w14:textId="3493F8F4" w:rsidR="005D077F" w:rsidRPr="00254D1D" w:rsidRDefault="005D077F" w:rsidP="00B635DD">
            <w:pPr>
              <w:rPr>
                <w:rFonts w:ascii="Aptos" w:hAnsi="Aptos"/>
                <w:b/>
                <w:bCs/>
                <w:sz w:val="20"/>
                <w:szCs w:val="20"/>
              </w:rPr>
            </w:pPr>
            <w:r w:rsidRPr="00254D1D">
              <w:rPr>
                <w:rFonts w:ascii="Aptos" w:hAnsi="Aptos"/>
                <w:b/>
                <w:bCs/>
                <w:sz w:val="20"/>
                <w:szCs w:val="20"/>
              </w:rPr>
              <w:t>Title, Purpose, &amp; Applicability</w:t>
            </w:r>
          </w:p>
        </w:tc>
        <w:tc>
          <w:tcPr>
            <w:tcW w:w="5034" w:type="dxa"/>
          </w:tcPr>
          <w:p w14:paraId="6DB77EBB" w14:textId="0F821101" w:rsidR="005D077F" w:rsidRPr="00D24B69" w:rsidRDefault="005D077F" w:rsidP="00B635DD">
            <w:pPr>
              <w:rPr>
                <w:rFonts w:ascii="Aptos" w:hAnsi="Aptos"/>
                <w:sz w:val="20"/>
                <w:szCs w:val="20"/>
              </w:rPr>
            </w:pPr>
            <w:r w:rsidRPr="00D24B69">
              <w:rPr>
                <w:rFonts w:ascii="Aptos" w:hAnsi="Aptos"/>
                <w:sz w:val="20"/>
                <w:szCs w:val="20"/>
              </w:rPr>
              <w:t>New title page, no major changes</w:t>
            </w:r>
          </w:p>
        </w:tc>
        <w:tc>
          <w:tcPr>
            <w:tcW w:w="6306" w:type="dxa"/>
          </w:tcPr>
          <w:p w14:paraId="3385B236" w14:textId="77777777" w:rsidR="005D077F" w:rsidRPr="00D24B69" w:rsidRDefault="005D077F" w:rsidP="00B635DD">
            <w:pPr>
              <w:rPr>
                <w:rFonts w:ascii="Aptos" w:hAnsi="Aptos"/>
                <w:sz w:val="20"/>
                <w:szCs w:val="20"/>
              </w:rPr>
            </w:pPr>
            <w:r w:rsidRPr="00D24B69">
              <w:rPr>
                <w:rFonts w:ascii="Aptos" w:hAnsi="Aptos"/>
                <w:sz w:val="20"/>
                <w:szCs w:val="20"/>
              </w:rPr>
              <w:t>Severability clause expanded</w:t>
            </w:r>
          </w:p>
        </w:tc>
      </w:tr>
      <w:tr w:rsidR="00DA4A14" w14:paraId="36159433" w14:textId="77777777" w:rsidTr="00777DCB">
        <w:tc>
          <w:tcPr>
            <w:tcW w:w="976" w:type="dxa"/>
            <w:shd w:val="clear" w:color="auto" w:fill="D9D9D9" w:themeFill="background1" w:themeFillShade="D9"/>
          </w:tcPr>
          <w:p w14:paraId="154C896B" w14:textId="1F158AB9" w:rsidR="005D077F" w:rsidRPr="00D7711C" w:rsidRDefault="005D077F" w:rsidP="00B635DD">
            <w:pPr>
              <w:jc w:val="center"/>
              <w:rPr>
                <w:rFonts w:ascii="Aptos" w:hAnsi="Aptos"/>
                <w:b/>
                <w:bCs/>
                <w:sz w:val="20"/>
                <w:szCs w:val="20"/>
              </w:rPr>
            </w:pPr>
            <w:r>
              <w:rPr>
                <w:rFonts w:ascii="Aptos" w:hAnsi="Aptos"/>
                <w:b/>
                <w:bCs/>
                <w:sz w:val="20"/>
                <w:szCs w:val="20"/>
              </w:rPr>
              <w:t>1102</w:t>
            </w:r>
          </w:p>
        </w:tc>
        <w:tc>
          <w:tcPr>
            <w:tcW w:w="2079" w:type="dxa"/>
            <w:shd w:val="clear" w:color="auto" w:fill="D9D9D9" w:themeFill="background1" w:themeFillShade="D9"/>
          </w:tcPr>
          <w:p w14:paraId="64D12A1D" w14:textId="7E77A431" w:rsidR="005D077F" w:rsidRPr="00254D1D" w:rsidRDefault="005D077F" w:rsidP="00B635DD">
            <w:pPr>
              <w:rPr>
                <w:rFonts w:ascii="Aptos" w:hAnsi="Aptos"/>
                <w:b/>
                <w:bCs/>
                <w:sz w:val="20"/>
                <w:szCs w:val="20"/>
              </w:rPr>
            </w:pPr>
            <w:r w:rsidRPr="00254D1D">
              <w:rPr>
                <w:rFonts w:ascii="Aptos" w:hAnsi="Aptos"/>
                <w:b/>
                <w:bCs/>
                <w:sz w:val="20"/>
                <w:szCs w:val="20"/>
              </w:rPr>
              <w:t>Definitions</w:t>
            </w:r>
          </w:p>
        </w:tc>
        <w:tc>
          <w:tcPr>
            <w:tcW w:w="5034" w:type="dxa"/>
          </w:tcPr>
          <w:p w14:paraId="34408F6F" w14:textId="748BA33A" w:rsidR="005D077F" w:rsidRPr="00D24B69" w:rsidRDefault="00254D1D" w:rsidP="00B635DD">
            <w:pPr>
              <w:rPr>
                <w:rFonts w:ascii="Aptos" w:hAnsi="Aptos"/>
                <w:sz w:val="20"/>
                <w:szCs w:val="20"/>
              </w:rPr>
            </w:pPr>
            <w:r>
              <w:rPr>
                <w:rFonts w:ascii="Aptos" w:hAnsi="Aptos"/>
                <w:sz w:val="20"/>
                <w:szCs w:val="20"/>
              </w:rPr>
              <w:t xml:space="preserve">Consolidate all definitions </w:t>
            </w:r>
            <w:r w:rsidR="001C3D3C">
              <w:rPr>
                <w:rFonts w:ascii="Aptos" w:hAnsi="Aptos"/>
                <w:sz w:val="20"/>
                <w:szCs w:val="20"/>
              </w:rPr>
              <w:t>i</w:t>
            </w:r>
            <w:r>
              <w:rPr>
                <w:rFonts w:ascii="Aptos" w:hAnsi="Aptos"/>
                <w:sz w:val="20"/>
                <w:szCs w:val="20"/>
              </w:rPr>
              <w:t>n one chapter</w:t>
            </w:r>
            <w:r w:rsidR="007C0D1D">
              <w:rPr>
                <w:rFonts w:ascii="Aptos" w:hAnsi="Aptos"/>
                <w:sz w:val="20"/>
                <w:szCs w:val="20"/>
              </w:rPr>
              <w:t>. Currently under review by staff.</w:t>
            </w:r>
          </w:p>
        </w:tc>
        <w:tc>
          <w:tcPr>
            <w:tcW w:w="6306" w:type="dxa"/>
          </w:tcPr>
          <w:p w14:paraId="36E59769" w14:textId="77777777" w:rsidR="005D077F" w:rsidRDefault="00254D1D" w:rsidP="00B635DD">
            <w:pPr>
              <w:rPr>
                <w:rFonts w:ascii="Aptos" w:hAnsi="Aptos"/>
                <w:sz w:val="20"/>
                <w:szCs w:val="20"/>
              </w:rPr>
            </w:pPr>
            <w:r>
              <w:rPr>
                <w:rFonts w:ascii="Aptos" w:hAnsi="Aptos"/>
                <w:sz w:val="20"/>
                <w:szCs w:val="20"/>
              </w:rPr>
              <w:t>Adding definitions from new chapters, clarifying definitions</w:t>
            </w:r>
          </w:p>
          <w:p w14:paraId="2BCB6CB1" w14:textId="637C7ED5" w:rsidR="00476119" w:rsidRPr="00D24B69" w:rsidRDefault="00476119" w:rsidP="00B635DD">
            <w:pPr>
              <w:rPr>
                <w:rFonts w:ascii="Aptos" w:hAnsi="Aptos"/>
                <w:sz w:val="20"/>
                <w:szCs w:val="20"/>
              </w:rPr>
            </w:pPr>
          </w:p>
        </w:tc>
      </w:tr>
      <w:tr w:rsidR="00DA4A14" w14:paraId="3D0855E1" w14:textId="77777777" w:rsidTr="00777DCB">
        <w:tc>
          <w:tcPr>
            <w:tcW w:w="976" w:type="dxa"/>
            <w:shd w:val="clear" w:color="auto" w:fill="D9D9D9" w:themeFill="background1" w:themeFillShade="D9"/>
          </w:tcPr>
          <w:p w14:paraId="31B4F6D9" w14:textId="466AEB89" w:rsidR="005D077F" w:rsidRPr="00D7711C" w:rsidRDefault="005D077F" w:rsidP="00B635DD">
            <w:pPr>
              <w:jc w:val="center"/>
              <w:rPr>
                <w:rFonts w:ascii="Aptos" w:hAnsi="Aptos"/>
                <w:b/>
                <w:bCs/>
                <w:sz w:val="20"/>
                <w:szCs w:val="20"/>
              </w:rPr>
            </w:pPr>
            <w:r>
              <w:rPr>
                <w:rFonts w:ascii="Aptos" w:hAnsi="Aptos"/>
                <w:b/>
                <w:bCs/>
                <w:sz w:val="20"/>
                <w:szCs w:val="20"/>
              </w:rPr>
              <w:t xml:space="preserve">1103 </w:t>
            </w:r>
          </w:p>
        </w:tc>
        <w:tc>
          <w:tcPr>
            <w:tcW w:w="2079" w:type="dxa"/>
            <w:shd w:val="clear" w:color="auto" w:fill="D9D9D9" w:themeFill="background1" w:themeFillShade="D9"/>
          </w:tcPr>
          <w:p w14:paraId="6869D3E4" w14:textId="1A4F2ACF" w:rsidR="005D077F" w:rsidRPr="00254D1D" w:rsidRDefault="005D077F" w:rsidP="00B635DD">
            <w:pPr>
              <w:rPr>
                <w:rFonts w:ascii="Aptos" w:hAnsi="Aptos"/>
                <w:b/>
                <w:bCs/>
                <w:sz w:val="20"/>
                <w:szCs w:val="20"/>
              </w:rPr>
            </w:pPr>
            <w:r w:rsidRPr="00254D1D">
              <w:rPr>
                <w:rFonts w:ascii="Aptos" w:hAnsi="Aptos"/>
                <w:b/>
                <w:bCs/>
                <w:sz w:val="20"/>
                <w:szCs w:val="20"/>
              </w:rPr>
              <w:t>Administration, Power, &amp; Duties</w:t>
            </w:r>
          </w:p>
        </w:tc>
        <w:tc>
          <w:tcPr>
            <w:tcW w:w="5034" w:type="dxa"/>
          </w:tcPr>
          <w:p w14:paraId="066EA825" w14:textId="0206420B" w:rsidR="005D077F" w:rsidRPr="00D24B69" w:rsidRDefault="00567D9A" w:rsidP="00B635DD">
            <w:pPr>
              <w:rPr>
                <w:rFonts w:ascii="Aptos" w:hAnsi="Aptos"/>
                <w:sz w:val="20"/>
                <w:szCs w:val="20"/>
              </w:rPr>
            </w:pPr>
            <w:r>
              <w:rPr>
                <w:rFonts w:ascii="Aptos" w:hAnsi="Aptos"/>
                <w:sz w:val="20"/>
                <w:szCs w:val="20"/>
              </w:rPr>
              <w:t>Added HPC to chapter</w:t>
            </w:r>
          </w:p>
        </w:tc>
        <w:tc>
          <w:tcPr>
            <w:tcW w:w="6306" w:type="dxa"/>
          </w:tcPr>
          <w:p w14:paraId="7429BF78" w14:textId="77777777" w:rsidR="005D077F" w:rsidRDefault="00567D9A" w:rsidP="00B635DD">
            <w:pPr>
              <w:rPr>
                <w:rFonts w:ascii="Aptos" w:hAnsi="Aptos"/>
                <w:sz w:val="20"/>
                <w:szCs w:val="20"/>
              </w:rPr>
            </w:pPr>
            <w:r>
              <w:rPr>
                <w:rFonts w:ascii="Aptos" w:hAnsi="Aptos"/>
                <w:sz w:val="20"/>
                <w:szCs w:val="20"/>
              </w:rPr>
              <w:t>Conformance with Charter, consolidation of boards and commissions in one chapter</w:t>
            </w:r>
          </w:p>
          <w:p w14:paraId="5E354797" w14:textId="681F0769" w:rsidR="00476119" w:rsidRPr="00D24B69" w:rsidRDefault="00476119" w:rsidP="00B635DD">
            <w:pPr>
              <w:rPr>
                <w:rFonts w:ascii="Aptos" w:hAnsi="Aptos"/>
                <w:sz w:val="20"/>
                <w:szCs w:val="20"/>
              </w:rPr>
            </w:pPr>
          </w:p>
        </w:tc>
      </w:tr>
      <w:tr w:rsidR="00DA4A14" w14:paraId="21580F26" w14:textId="77777777" w:rsidTr="00777DCB">
        <w:tc>
          <w:tcPr>
            <w:tcW w:w="976" w:type="dxa"/>
            <w:shd w:val="clear" w:color="auto" w:fill="D9D9D9" w:themeFill="background1" w:themeFillShade="D9"/>
          </w:tcPr>
          <w:p w14:paraId="038C6D0F" w14:textId="77777777" w:rsidR="005D077F" w:rsidRPr="00D24B69" w:rsidRDefault="005D077F" w:rsidP="00B635DD">
            <w:pPr>
              <w:jc w:val="center"/>
              <w:rPr>
                <w:rFonts w:ascii="Aptos" w:hAnsi="Aptos"/>
                <w:sz w:val="20"/>
                <w:szCs w:val="20"/>
              </w:rPr>
            </w:pPr>
            <w:r w:rsidRPr="00D7711C">
              <w:rPr>
                <w:rFonts w:ascii="Aptos" w:hAnsi="Aptos"/>
                <w:b/>
                <w:bCs/>
                <w:sz w:val="20"/>
                <w:szCs w:val="20"/>
              </w:rPr>
              <w:t>1104</w:t>
            </w:r>
          </w:p>
        </w:tc>
        <w:tc>
          <w:tcPr>
            <w:tcW w:w="2079" w:type="dxa"/>
            <w:shd w:val="clear" w:color="auto" w:fill="D9D9D9" w:themeFill="background1" w:themeFillShade="D9"/>
          </w:tcPr>
          <w:p w14:paraId="7F62C8C5" w14:textId="3847EEB4" w:rsidR="005D077F" w:rsidRPr="00254D1D" w:rsidRDefault="005D077F" w:rsidP="00B635DD">
            <w:pPr>
              <w:rPr>
                <w:rFonts w:ascii="Aptos" w:hAnsi="Aptos"/>
                <w:b/>
                <w:bCs/>
                <w:sz w:val="20"/>
                <w:szCs w:val="20"/>
              </w:rPr>
            </w:pPr>
            <w:r w:rsidRPr="00254D1D">
              <w:rPr>
                <w:rFonts w:ascii="Aptos" w:hAnsi="Aptos"/>
                <w:b/>
                <w:bCs/>
                <w:sz w:val="20"/>
                <w:szCs w:val="20"/>
              </w:rPr>
              <w:t>Comp Plan &amp; Thoroughfare Plan</w:t>
            </w:r>
          </w:p>
        </w:tc>
        <w:tc>
          <w:tcPr>
            <w:tcW w:w="5034" w:type="dxa"/>
          </w:tcPr>
          <w:p w14:paraId="3D409405" w14:textId="3EF2B050" w:rsidR="005D077F" w:rsidRPr="00D24B69" w:rsidRDefault="005D077F" w:rsidP="00B635DD">
            <w:pPr>
              <w:rPr>
                <w:rFonts w:ascii="Aptos" w:hAnsi="Aptos"/>
                <w:sz w:val="20"/>
                <w:szCs w:val="20"/>
              </w:rPr>
            </w:pPr>
            <w:r w:rsidRPr="00D24B69">
              <w:rPr>
                <w:rFonts w:ascii="Aptos" w:hAnsi="Aptos"/>
                <w:sz w:val="20"/>
                <w:szCs w:val="20"/>
              </w:rPr>
              <w:t>Simplification</w:t>
            </w:r>
            <w:r>
              <w:rPr>
                <w:rFonts w:ascii="Aptos" w:hAnsi="Aptos"/>
                <w:sz w:val="20"/>
                <w:szCs w:val="20"/>
              </w:rPr>
              <w:t>, no major changes</w:t>
            </w:r>
          </w:p>
        </w:tc>
        <w:tc>
          <w:tcPr>
            <w:tcW w:w="6306" w:type="dxa"/>
          </w:tcPr>
          <w:p w14:paraId="154AB783" w14:textId="77777777" w:rsidR="005D077F" w:rsidRDefault="005D077F" w:rsidP="00B635DD">
            <w:pPr>
              <w:rPr>
                <w:rFonts w:ascii="Aptos" w:hAnsi="Aptos"/>
                <w:sz w:val="20"/>
                <w:szCs w:val="20"/>
              </w:rPr>
            </w:pPr>
            <w:r w:rsidRPr="00D24B69">
              <w:rPr>
                <w:rFonts w:ascii="Aptos" w:hAnsi="Aptos"/>
                <w:sz w:val="20"/>
                <w:szCs w:val="20"/>
              </w:rPr>
              <w:t>Combined comprehensive plan and throughfare plan chapters</w:t>
            </w:r>
            <w:r>
              <w:rPr>
                <w:rFonts w:ascii="Aptos" w:hAnsi="Aptos"/>
                <w:sz w:val="20"/>
                <w:szCs w:val="20"/>
              </w:rPr>
              <w:t xml:space="preserve">. Updated procedures for comp. plan amendments to align with existing zoning amendment procedures outlined in the code. </w:t>
            </w:r>
          </w:p>
          <w:p w14:paraId="717B46CD" w14:textId="133224AA" w:rsidR="00476119" w:rsidRPr="00D24B69" w:rsidRDefault="00476119" w:rsidP="00B635DD">
            <w:pPr>
              <w:rPr>
                <w:rFonts w:ascii="Aptos" w:hAnsi="Aptos"/>
                <w:sz w:val="20"/>
                <w:szCs w:val="20"/>
              </w:rPr>
            </w:pPr>
          </w:p>
        </w:tc>
      </w:tr>
      <w:tr w:rsidR="00DA4A14" w14:paraId="5CAD3BCD" w14:textId="77777777" w:rsidTr="00777DCB">
        <w:tc>
          <w:tcPr>
            <w:tcW w:w="976" w:type="dxa"/>
            <w:shd w:val="clear" w:color="auto" w:fill="D9D9D9" w:themeFill="background1" w:themeFillShade="D9"/>
          </w:tcPr>
          <w:p w14:paraId="0CCD1974" w14:textId="10DCBB29" w:rsidR="00F8278A" w:rsidRPr="00D7711C" w:rsidRDefault="00F8278A" w:rsidP="00B635DD">
            <w:pPr>
              <w:jc w:val="center"/>
              <w:rPr>
                <w:rFonts w:ascii="Aptos" w:hAnsi="Aptos"/>
                <w:b/>
                <w:bCs/>
                <w:sz w:val="20"/>
                <w:szCs w:val="20"/>
              </w:rPr>
            </w:pPr>
            <w:r>
              <w:rPr>
                <w:rFonts w:ascii="Aptos" w:hAnsi="Aptos"/>
                <w:b/>
                <w:bCs/>
                <w:sz w:val="20"/>
                <w:szCs w:val="20"/>
              </w:rPr>
              <w:t>1105</w:t>
            </w:r>
          </w:p>
        </w:tc>
        <w:tc>
          <w:tcPr>
            <w:tcW w:w="2079" w:type="dxa"/>
            <w:shd w:val="clear" w:color="auto" w:fill="D9D9D9" w:themeFill="background1" w:themeFillShade="D9"/>
          </w:tcPr>
          <w:p w14:paraId="335622E6" w14:textId="203B2D31" w:rsidR="00F8278A" w:rsidRPr="00254D1D" w:rsidRDefault="00F8278A" w:rsidP="00B635DD">
            <w:pPr>
              <w:rPr>
                <w:rFonts w:ascii="Aptos" w:hAnsi="Aptos"/>
                <w:b/>
                <w:bCs/>
                <w:sz w:val="20"/>
                <w:szCs w:val="20"/>
              </w:rPr>
            </w:pPr>
            <w:r>
              <w:rPr>
                <w:rFonts w:ascii="Aptos" w:hAnsi="Aptos"/>
                <w:b/>
                <w:bCs/>
                <w:sz w:val="20"/>
                <w:szCs w:val="20"/>
              </w:rPr>
              <w:t>Procedures</w:t>
            </w:r>
          </w:p>
        </w:tc>
        <w:tc>
          <w:tcPr>
            <w:tcW w:w="5034" w:type="dxa"/>
          </w:tcPr>
          <w:p w14:paraId="0A85AE65" w14:textId="025AA2D5" w:rsidR="00F8278A" w:rsidRPr="00D24B69" w:rsidRDefault="00777DCB" w:rsidP="00B635DD">
            <w:pPr>
              <w:rPr>
                <w:rFonts w:ascii="Aptos" w:hAnsi="Aptos"/>
                <w:sz w:val="20"/>
                <w:szCs w:val="20"/>
              </w:rPr>
            </w:pPr>
            <w:r>
              <w:rPr>
                <w:rFonts w:ascii="Aptos" w:hAnsi="Aptos"/>
                <w:sz w:val="20"/>
                <w:szCs w:val="20"/>
              </w:rPr>
              <w:t xml:space="preserve">Consolidated all zoning procedures into a single chapter </w:t>
            </w:r>
          </w:p>
        </w:tc>
        <w:tc>
          <w:tcPr>
            <w:tcW w:w="6306" w:type="dxa"/>
          </w:tcPr>
          <w:p w14:paraId="2FD16F94" w14:textId="77777777" w:rsidR="00F8278A" w:rsidRDefault="00777DCB" w:rsidP="00B635DD">
            <w:pPr>
              <w:rPr>
                <w:rFonts w:ascii="Aptos" w:hAnsi="Aptos"/>
                <w:sz w:val="20"/>
                <w:szCs w:val="20"/>
              </w:rPr>
            </w:pPr>
            <w:r>
              <w:rPr>
                <w:rFonts w:ascii="Aptos" w:hAnsi="Aptos"/>
                <w:sz w:val="20"/>
                <w:szCs w:val="20"/>
              </w:rPr>
              <w:t>Procedures are currently scattered throughout Code</w:t>
            </w:r>
            <w:r w:rsidR="00567D9A">
              <w:rPr>
                <w:rFonts w:ascii="Aptos" w:hAnsi="Aptos"/>
                <w:sz w:val="20"/>
                <w:szCs w:val="20"/>
              </w:rPr>
              <w:t>. This change allows for easy reference</w:t>
            </w:r>
          </w:p>
          <w:p w14:paraId="45800E31" w14:textId="746296C5" w:rsidR="00476119" w:rsidRPr="00D24B69" w:rsidRDefault="00476119" w:rsidP="00B635DD">
            <w:pPr>
              <w:rPr>
                <w:rFonts w:ascii="Aptos" w:hAnsi="Aptos"/>
                <w:sz w:val="20"/>
                <w:szCs w:val="20"/>
              </w:rPr>
            </w:pPr>
          </w:p>
        </w:tc>
      </w:tr>
      <w:tr w:rsidR="00DA4A14" w14:paraId="0FBCE523" w14:textId="77777777" w:rsidTr="00777DCB">
        <w:tc>
          <w:tcPr>
            <w:tcW w:w="976" w:type="dxa"/>
            <w:shd w:val="clear" w:color="auto" w:fill="D9D9D9" w:themeFill="background1" w:themeFillShade="D9"/>
          </w:tcPr>
          <w:p w14:paraId="3DF4081A" w14:textId="0131F3B9" w:rsidR="00F8278A" w:rsidRPr="00D7711C" w:rsidRDefault="00F8278A" w:rsidP="00B635DD">
            <w:pPr>
              <w:jc w:val="center"/>
              <w:rPr>
                <w:rFonts w:ascii="Aptos" w:hAnsi="Aptos"/>
                <w:b/>
                <w:bCs/>
                <w:sz w:val="20"/>
                <w:szCs w:val="20"/>
              </w:rPr>
            </w:pPr>
            <w:r>
              <w:rPr>
                <w:rFonts w:ascii="Aptos" w:hAnsi="Aptos"/>
                <w:b/>
                <w:bCs/>
                <w:sz w:val="20"/>
                <w:szCs w:val="20"/>
              </w:rPr>
              <w:t>1106</w:t>
            </w:r>
          </w:p>
        </w:tc>
        <w:tc>
          <w:tcPr>
            <w:tcW w:w="2079" w:type="dxa"/>
            <w:shd w:val="clear" w:color="auto" w:fill="D9D9D9" w:themeFill="background1" w:themeFillShade="D9"/>
          </w:tcPr>
          <w:p w14:paraId="55E7947A" w14:textId="471BE875" w:rsidR="00F8278A" w:rsidRPr="00254D1D" w:rsidRDefault="00F8278A" w:rsidP="00B635DD">
            <w:pPr>
              <w:rPr>
                <w:rFonts w:ascii="Aptos" w:hAnsi="Aptos"/>
                <w:b/>
                <w:bCs/>
                <w:sz w:val="20"/>
                <w:szCs w:val="20"/>
              </w:rPr>
            </w:pPr>
            <w:r>
              <w:rPr>
                <w:rFonts w:ascii="Aptos" w:hAnsi="Aptos"/>
                <w:b/>
                <w:bCs/>
                <w:sz w:val="20"/>
                <w:szCs w:val="20"/>
              </w:rPr>
              <w:t>Subdivision Regulations</w:t>
            </w:r>
          </w:p>
        </w:tc>
        <w:tc>
          <w:tcPr>
            <w:tcW w:w="5034" w:type="dxa"/>
          </w:tcPr>
          <w:p w14:paraId="6D10EB5E" w14:textId="77777777" w:rsidR="00777DCB" w:rsidRPr="00777DCB" w:rsidRDefault="00777DCB" w:rsidP="00777DCB">
            <w:pPr>
              <w:rPr>
                <w:rFonts w:ascii="Aptos" w:hAnsi="Aptos"/>
                <w:sz w:val="20"/>
                <w:szCs w:val="20"/>
              </w:rPr>
            </w:pPr>
            <w:r w:rsidRPr="00777DCB">
              <w:rPr>
                <w:rFonts w:ascii="Aptos" w:hAnsi="Aptos"/>
                <w:sz w:val="20"/>
                <w:szCs w:val="20"/>
              </w:rPr>
              <w:t>Removed Council approval from Subdivision Regs.</w:t>
            </w:r>
          </w:p>
          <w:p w14:paraId="6AC9945F" w14:textId="0C9AADCC" w:rsidR="00777DCB" w:rsidRPr="00777DCB" w:rsidRDefault="00777DCB" w:rsidP="00777DCB">
            <w:pPr>
              <w:rPr>
                <w:rFonts w:ascii="Aptos" w:hAnsi="Aptos"/>
                <w:sz w:val="20"/>
                <w:szCs w:val="20"/>
              </w:rPr>
            </w:pPr>
            <w:r w:rsidRPr="00777DCB">
              <w:rPr>
                <w:rFonts w:ascii="Aptos" w:hAnsi="Aptos"/>
                <w:sz w:val="20"/>
                <w:szCs w:val="20"/>
              </w:rPr>
              <w:t xml:space="preserve">Require platting of all property as it develops or new lots are created. </w:t>
            </w:r>
          </w:p>
          <w:p w14:paraId="3037EDA7" w14:textId="3D225FFF" w:rsidR="00F8278A" w:rsidRPr="00777DCB" w:rsidRDefault="00777DCB" w:rsidP="00777DCB">
            <w:pPr>
              <w:rPr>
                <w:rFonts w:ascii="Aptos" w:hAnsi="Aptos"/>
                <w:sz w:val="20"/>
                <w:szCs w:val="20"/>
              </w:rPr>
            </w:pPr>
            <w:r w:rsidRPr="00777DCB">
              <w:rPr>
                <w:rFonts w:ascii="Aptos" w:hAnsi="Aptos"/>
                <w:sz w:val="20"/>
                <w:szCs w:val="20"/>
              </w:rPr>
              <w:t xml:space="preserve">Updated parkland dedication section. </w:t>
            </w:r>
          </w:p>
        </w:tc>
        <w:tc>
          <w:tcPr>
            <w:tcW w:w="6306" w:type="dxa"/>
          </w:tcPr>
          <w:p w14:paraId="236D9373" w14:textId="77777777" w:rsidR="00F8278A" w:rsidRDefault="00777DCB" w:rsidP="00B635DD">
            <w:pPr>
              <w:rPr>
                <w:rFonts w:ascii="Aptos" w:hAnsi="Aptos"/>
                <w:sz w:val="20"/>
                <w:szCs w:val="20"/>
              </w:rPr>
            </w:pPr>
            <w:r>
              <w:rPr>
                <w:rFonts w:ascii="Aptos" w:hAnsi="Aptos"/>
                <w:sz w:val="20"/>
                <w:szCs w:val="20"/>
              </w:rPr>
              <w:t xml:space="preserve">Proposed charter changes will only require Planning Commission Approval for plats. Requiring that all new lots be platter will allow for opportunities to dedicate right-of-way and easements. New parkland dedication requirements will reflect current policy in providing several options for dedication of parks and open space. </w:t>
            </w:r>
          </w:p>
          <w:p w14:paraId="6CA4F7A2" w14:textId="155B14C5" w:rsidR="00476119" w:rsidRPr="00D24B69" w:rsidRDefault="00476119" w:rsidP="00B635DD">
            <w:pPr>
              <w:rPr>
                <w:rFonts w:ascii="Aptos" w:hAnsi="Aptos"/>
                <w:sz w:val="20"/>
                <w:szCs w:val="20"/>
              </w:rPr>
            </w:pPr>
          </w:p>
        </w:tc>
      </w:tr>
      <w:tr w:rsidR="00DA4A14" w14:paraId="155FDFA2" w14:textId="77777777" w:rsidTr="00777DCB">
        <w:tc>
          <w:tcPr>
            <w:tcW w:w="976" w:type="dxa"/>
            <w:shd w:val="clear" w:color="auto" w:fill="D9D9D9" w:themeFill="background1" w:themeFillShade="D9"/>
          </w:tcPr>
          <w:p w14:paraId="4A49F534" w14:textId="64EA2D3C" w:rsidR="005D077F" w:rsidRPr="00D24B69" w:rsidRDefault="005D077F" w:rsidP="00B635DD">
            <w:pPr>
              <w:jc w:val="center"/>
              <w:rPr>
                <w:rFonts w:ascii="Aptos" w:hAnsi="Aptos"/>
                <w:sz w:val="20"/>
                <w:szCs w:val="20"/>
              </w:rPr>
            </w:pPr>
            <w:r w:rsidRPr="00D7711C">
              <w:rPr>
                <w:rFonts w:ascii="Aptos" w:hAnsi="Aptos"/>
                <w:b/>
                <w:bCs/>
                <w:sz w:val="20"/>
                <w:szCs w:val="20"/>
              </w:rPr>
              <w:t>1110-111</w:t>
            </w:r>
            <w:r>
              <w:rPr>
                <w:rFonts w:ascii="Aptos" w:hAnsi="Aptos"/>
                <w:b/>
                <w:bCs/>
                <w:sz w:val="20"/>
                <w:szCs w:val="20"/>
              </w:rPr>
              <w:t>2</w:t>
            </w:r>
          </w:p>
        </w:tc>
        <w:tc>
          <w:tcPr>
            <w:tcW w:w="2079" w:type="dxa"/>
            <w:shd w:val="clear" w:color="auto" w:fill="D9D9D9" w:themeFill="background1" w:themeFillShade="D9"/>
          </w:tcPr>
          <w:p w14:paraId="75749A95" w14:textId="7B1FCA42" w:rsidR="005D077F" w:rsidRPr="00254D1D" w:rsidRDefault="005D077F" w:rsidP="00B635DD">
            <w:pPr>
              <w:rPr>
                <w:rFonts w:ascii="Aptos" w:eastAsia="Times New Roman" w:hAnsi="Aptos" w:cs="Segoe UI"/>
                <w:b/>
                <w:bCs/>
                <w:sz w:val="20"/>
                <w:szCs w:val="20"/>
              </w:rPr>
            </w:pPr>
            <w:r w:rsidRPr="00254D1D">
              <w:rPr>
                <w:rFonts w:ascii="Aptos" w:eastAsia="Times New Roman" w:hAnsi="Aptos" w:cs="Segoe UI"/>
                <w:b/>
                <w:bCs/>
                <w:sz w:val="20"/>
                <w:szCs w:val="20"/>
              </w:rPr>
              <w:t>Districts Established/Residential Districts/Commercial Districts</w:t>
            </w:r>
          </w:p>
        </w:tc>
        <w:tc>
          <w:tcPr>
            <w:tcW w:w="5034" w:type="dxa"/>
          </w:tcPr>
          <w:p w14:paraId="34D07AEE" w14:textId="0BBD3A5C" w:rsidR="005D077F" w:rsidRDefault="005D077F" w:rsidP="00B635DD">
            <w:pPr>
              <w:rPr>
                <w:rFonts w:ascii="Aptos" w:eastAsia="Times New Roman" w:hAnsi="Aptos" w:cs="Segoe UI"/>
                <w:sz w:val="20"/>
                <w:szCs w:val="20"/>
              </w:rPr>
            </w:pPr>
            <w:r w:rsidRPr="00C709A6">
              <w:rPr>
                <w:rFonts w:ascii="Aptos" w:eastAsia="Times New Roman" w:hAnsi="Aptos" w:cs="Segoe UI"/>
                <w:sz w:val="20"/>
                <w:szCs w:val="20"/>
              </w:rPr>
              <w:t>Simplifying the code and making it more approachable for staff, applicants, and residents</w:t>
            </w:r>
          </w:p>
          <w:p w14:paraId="15320F3F" w14:textId="77777777" w:rsidR="005D077F" w:rsidRDefault="005D077F" w:rsidP="00B635DD">
            <w:pPr>
              <w:rPr>
                <w:rFonts w:ascii="Aptos" w:eastAsia="Times New Roman" w:hAnsi="Aptos" w:cs="Segoe UI"/>
                <w:sz w:val="20"/>
                <w:szCs w:val="20"/>
              </w:rPr>
            </w:pPr>
          </w:p>
          <w:p w14:paraId="1250A1E9" w14:textId="3D08C9CA" w:rsidR="005D077F" w:rsidRPr="00C709A6" w:rsidRDefault="005D077F" w:rsidP="00B635DD">
            <w:pPr>
              <w:rPr>
                <w:rFonts w:ascii="Aptos" w:eastAsia="Times New Roman" w:hAnsi="Aptos" w:cs="Segoe UI"/>
                <w:sz w:val="20"/>
                <w:szCs w:val="20"/>
              </w:rPr>
            </w:pPr>
            <w:r w:rsidRPr="00C709A6">
              <w:rPr>
                <w:rFonts w:ascii="Aptos" w:eastAsia="Times New Roman" w:hAnsi="Aptos" w:cs="Segoe UI"/>
                <w:sz w:val="20"/>
                <w:szCs w:val="20"/>
              </w:rPr>
              <w:t xml:space="preserve"> Aligning zoning designations with both the Comprehensive Plan and the existing conditions of sites around the city.</w:t>
            </w:r>
          </w:p>
          <w:p w14:paraId="3A602F34" w14:textId="77777777" w:rsidR="005D077F" w:rsidRPr="00C709A6" w:rsidRDefault="005D077F" w:rsidP="00B635DD">
            <w:pPr>
              <w:rPr>
                <w:rFonts w:ascii="Aptos" w:eastAsia="Times New Roman" w:hAnsi="Aptos" w:cs="Aptos"/>
                <w:sz w:val="20"/>
                <w:szCs w:val="20"/>
              </w:rPr>
            </w:pPr>
          </w:p>
          <w:p w14:paraId="16FFA347" w14:textId="77777777" w:rsidR="005D077F" w:rsidRPr="00D24B69" w:rsidRDefault="005D077F" w:rsidP="00B635DD">
            <w:pPr>
              <w:rPr>
                <w:rFonts w:ascii="Aptos" w:hAnsi="Aptos"/>
                <w:sz w:val="20"/>
                <w:szCs w:val="20"/>
              </w:rPr>
            </w:pPr>
          </w:p>
        </w:tc>
        <w:tc>
          <w:tcPr>
            <w:tcW w:w="6306" w:type="dxa"/>
          </w:tcPr>
          <w:p w14:paraId="51AEF18C" w14:textId="3DBE75B9" w:rsidR="005D077F" w:rsidRPr="00476119" w:rsidRDefault="005D077F" w:rsidP="00B635DD">
            <w:pPr>
              <w:rPr>
                <w:rFonts w:ascii="Aptos" w:eastAsia="Times New Roman" w:hAnsi="Aptos" w:cs="Segoe UI"/>
                <w:sz w:val="20"/>
                <w:szCs w:val="20"/>
              </w:rPr>
            </w:pPr>
            <w:r w:rsidRPr="00D24B69">
              <w:rPr>
                <w:rFonts w:ascii="Aptos" w:eastAsia="Times New Roman" w:hAnsi="Aptos" w:cs="Segoe UI"/>
                <w:sz w:val="20"/>
                <w:szCs w:val="20"/>
              </w:rPr>
              <w:t>In the current zoning code, there are thirteen residential zoning districts, nine commercial zoning districts, two industrial zoning districts, and several overlay districts. In Staff’s proposal, there would be five residential districts, five commercial districts, two industrial districts, and overlay and planned districts as outlined elsewhere in the code. In addition, staff is proposing an overhaul of the zoning map to align with these new zoning districts.</w:t>
            </w:r>
          </w:p>
          <w:p w14:paraId="3F7562E6" w14:textId="77777777" w:rsidR="005D077F" w:rsidRPr="00D24B69" w:rsidRDefault="005D077F" w:rsidP="00B635DD">
            <w:pPr>
              <w:rPr>
                <w:rFonts w:ascii="Aptos" w:hAnsi="Aptos"/>
                <w:sz w:val="20"/>
                <w:szCs w:val="20"/>
              </w:rPr>
            </w:pPr>
          </w:p>
        </w:tc>
      </w:tr>
      <w:tr w:rsidR="00DA4A14" w14:paraId="31D50A39" w14:textId="77777777" w:rsidTr="00777DCB">
        <w:tc>
          <w:tcPr>
            <w:tcW w:w="976" w:type="dxa"/>
            <w:shd w:val="clear" w:color="auto" w:fill="D9D9D9" w:themeFill="background1" w:themeFillShade="D9"/>
          </w:tcPr>
          <w:p w14:paraId="1A1307AC" w14:textId="77777777" w:rsidR="005D077F" w:rsidRPr="00D24B69" w:rsidRDefault="005D077F" w:rsidP="00B635DD">
            <w:pPr>
              <w:jc w:val="center"/>
              <w:rPr>
                <w:rFonts w:ascii="Aptos" w:hAnsi="Aptos"/>
                <w:sz w:val="20"/>
                <w:szCs w:val="20"/>
              </w:rPr>
            </w:pPr>
            <w:r w:rsidRPr="00D7711C">
              <w:rPr>
                <w:rFonts w:ascii="Aptos" w:hAnsi="Aptos"/>
                <w:b/>
                <w:bCs/>
                <w:sz w:val="20"/>
                <w:szCs w:val="20"/>
              </w:rPr>
              <w:t>1113</w:t>
            </w:r>
          </w:p>
        </w:tc>
        <w:tc>
          <w:tcPr>
            <w:tcW w:w="2079" w:type="dxa"/>
            <w:shd w:val="clear" w:color="auto" w:fill="D9D9D9" w:themeFill="background1" w:themeFillShade="D9"/>
          </w:tcPr>
          <w:p w14:paraId="6A5B148D" w14:textId="6F29E4F1" w:rsidR="005D077F" w:rsidRPr="00254D1D" w:rsidRDefault="005D077F" w:rsidP="00B635DD">
            <w:pPr>
              <w:rPr>
                <w:rFonts w:ascii="Aptos" w:hAnsi="Aptos"/>
                <w:b/>
                <w:bCs/>
                <w:sz w:val="20"/>
                <w:szCs w:val="20"/>
              </w:rPr>
            </w:pPr>
            <w:r w:rsidRPr="00254D1D">
              <w:rPr>
                <w:rFonts w:ascii="Aptos" w:hAnsi="Aptos"/>
                <w:b/>
                <w:bCs/>
                <w:sz w:val="20"/>
                <w:szCs w:val="20"/>
              </w:rPr>
              <w:t>Industrial Districts</w:t>
            </w:r>
          </w:p>
        </w:tc>
        <w:tc>
          <w:tcPr>
            <w:tcW w:w="5034" w:type="dxa"/>
          </w:tcPr>
          <w:p w14:paraId="6719FF57" w14:textId="155B4B0E" w:rsidR="005D077F" w:rsidRPr="00D24B69" w:rsidRDefault="005D077F" w:rsidP="00B635DD">
            <w:pPr>
              <w:rPr>
                <w:rFonts w:ascii="Aptos" w:hAnsi="Aptos"/>
                <w:sz w:val="20"/>
                <w:szCs w:val="20"/>
              </w:rPr>
            </w:pPr>
            <w:r>
              <w:rPr>
                <w:rFonts w:ascii="Aptos" w:hAnsi="Aptos"/>
                <w:sz w:val="20"/>
                <w:szCs w:val="20"/>
              </w:rPr>
              <w:t>Clarification, simplification, and more allowed uses</w:t>
            </w:r>
          </w:p>
        </w:tc>
        <w:tc>
          <w:tcPr>
            <w:tcW w:w="6306" w:type="dxa"/>
          </w:tcPr>
          <w:p w14:paraId="60F8FCFC" w14:textId="77777777" w:rsidR="005D077F" w:rsidRDefault="005D077F" w:rsidP="00B635DD">
            <w:pPr>
              <w:rPr>
                <w:rFonts w:ascii="Aptos" w:hAnsi="Aptos"/>
                <w:sz w:val="20"/>
                <w:szCs w:val="20"/>
              </w:rPr>
            </w:pPr>
            <w:r>
              <w:rPr>
                <w:rFonts w:ascii="Aptos" w:hAnsi="Aptos"/>
                <w:sz w:val="20"/>
                <w:szCs w:val="20"/>
              </w:rPr>
              <w:t>Expanded the types of uses permitted in industrial districts. Established design requirements. Removed sections that are better suited in other chapters.</w:t>
            </w:r>
          </w:p>
          <w:p w14:paraId="6B658CBC" w14:textId="5BBDDD96" w:rsidR="00476119" w:rsidRPr="00D24B69" w:rsidRDefault="00476119" w:rsidP="00B635DD">
            <w:pPr>
              <w:rPr>
                <w:rFonts w:ascii="Aptos" w:hAnsi="Aptos"/>
                <w:sz w:val="20"/>
                <w:szCs w:val="20"/>
              </w:rPr>
            </w:pPr>
          </w:p>
        </w:tc>
      </w:tr>
      <w:tr w:rsidR="00DA4A14" w14:paraId="06913F74" w14:textId="77777777" w:rsidTr="00777DCB">
        <w:tc>
          <w:tcPr>
            <w:tcW w:w="976" w:type="dxa"/>
            <w:shd w:val="clear" w:color="auto" w:fill="D9D9D9" w:themeFill="background1" w:themeFillShade="D9"/>
          </w:tcPr>
          <w:p w14:paraId="379B2AB4" w14:textId="4C075F00" w:rsidR="005D077F" w:rsidRPr="00D7711C" w:rsidRDefault="005D077F" w:rsidP="00B635DD">
            <w:pPr>
              <w:jc w:val="center"/>
              <w:rPr>
                <w:rFonts w:ascii="Aptos" w:hAnsi="Aptos"/>
                <w:b/>
                <w:bCs/>
                <w:sz w:val="20"/>
                <w:szCs w:val="20"/>
              </w:rPr>
            </w:pPr>
            <w:r>
              <w:rPr>
                <w:rFonts w:ascii="Aptos" w:hAnsi="Aptos"/>
                <w:b/>
                <w:bCs/>
                <w:sz w:val="20"/>
                <w:szCs w:val="20"/>
              </w:rPr>
              <w:t>1114</w:t>
            </w:r>
          </w:p>
        </w:tc>
        <w:tc>
          <w:tcPr>
            <w:tcW w:w="2079" w:type="dxa"/>
            <w:shd w:val="clear" w:color="auto" w:fill="D9D9D9" w:themeFill="background1" w:themeFillShade="D9"/>
          </w:tcPr>
          <w:p w14:paraId="56C215D4" w14:textId="3F8DF495" w:rsidR="005D077F" w:rsidRPr="00254D1D" w:rsidRDefault="005D077F" w:rsidP="00B635DD">
            <w:pPr>
              <w:rPr>
                <w:rFonts w:ascii="Aptos" w:hAnsi="Aptos"/>
                <w:b/>
                <w:bCs/>
                <w:sz w:val="20"/>
                <w:szCs w:val="20"/>
              </w:rPr>
            </w:pPr>
            <w:r w:rsidRPr="00254D1D">
              <w:rPr>
                <w:rFonts w:ascii="Aptos" w:hAnsi="Aptos"/>
                <w:b/>
                <w:bCs/>
                <w:sz w:val="20"/>
                <w:szCs w:val="20"/>
              </w:rPr>
              <w:t>Planned Unit Developments</w:t>
            </w:r>
          </w:p>
        </w:tc>
        <w:tc>
          <w:tcPr>
            <w:tcW w:w="5034" w:type="dxa"/>
          </w:tcPr>
          <w:p w14:paraId="6ECC4911" w14:textId="2D9B0FDD" w:rsidR="005D077F" w:rsidRDefault="00F8278A" w:rsidP="00B635DD">
            <w:pPr>
              <w:rPr>
                <w:rFonts w:ascii="Aptos" w:hAnsi="Aptos"/>
                <w:sz w:val="20"/>
                <w:szCs w:val="20"/>
              </w:rPr>
            </w:pPr>
            <w:r>
              <w:rPr>
                <w:rFonts w:ascii="Aptos" w:hAnsi="Aptos"/>
                <w:sz w:val="20"/>
                <w:szCs w:val="20"/>
              </w:rPr>
              <w:t>Chapter simplification with no change in content</w:t>
            </w:r>
            <w:r w:rsidR="00EE7F54">
              <w:rPr>
                <w:rFonts w:ascii="Aptos" w:hAnsi="Aptos"/>
                <w:sz w:val="20"/>
                <w:szCs w:val="20"/>
              </w:rPr>
              <w:t>.</w:t>
            </w:r>
          </w:p>
        </w:tc>
        <w:tc>
          <w:tcPr>
            <w:tcW w:w="6306" w:type="dxa"/>
          </w:tcPr>
          <w:p w14:paraId="7DEE37BD" w14:textId="77777777" w:rsidR="005D077F" w:rsidRDefault="00F8278A" w:rsidP="00B635DD">
            <w:pPr>
              <w:rPr>
                <w:rFonts w:ascii="Aptos" w:hAnsi="Aptos"/>
                <w:sz w:val="20"/>
                <w:szCs w:val="20"/>
              </w:rPr>
            </w:pPr>
            <w:r>
              <w:rPr>
                <w:rFonts w:ascii="Aptos" w:hAnsi="Aptos"/>
                <w:sz w:val="20"/>
                <w:szCs w:val="20"/>
              </w:rPr>
              <w:t>Consolidated PUD rezoning and development plan procedures with procedures in Chapter 1105 (which are the same)</w:t>
            </w:r>
          </w:p>
          <w:p w14:paraId="2E1C1653" w14:textId="26D13532" w:rsidR="00476119" w:rsidRDefault="00476119" w:rsidP="00B635DD">
            <w:pPr>
              <w:rPr>
                <w:rFonts w:ascii="Aptos" w:hAnsi="Aptos"/>
                <w:sz w:val="20"/>
                <w:szCs w:val="20"/>
              </w:rPr>
            </w:pPr>
          </w:p>
        </w:tc>
      </w:tr>
      <w:tr w:rsidR="00DA4A14" w14:paraId="47FE5277" w14:textId="77777777" w:rsidTr="00777DCB">
        <w:tc>
          <w:tcPr>
            <w:tcW w:w="976" w:type="dxa"/>
            <w:shd w:val="clear" w:color="auto" w:fill="D9D9D9" w:themeFill="background1" w:themeFillShade="D9"/>
          </w:tcPr>
          <w:p w14:paraId="6A4DC504" w14:textId="77FD49B9" w:rsidR="005D077F" w:rsidRPr="00D7711C" w:rsidRDefault="005D077F" w:rsidP="00B635DD">
            <w:pPr>
              <w:jc w:val="center"/>
              <w:rPr>
                <w:rFonts w:ascii="Aptos" w:hAnsi="Aptos"/>
                <w:b/>
                <w:bCs/>
                <w:sz w:val="20"/>
                <w:szCs w:val="20"/>
              </w:rPr>
            </w:pPr>
            <w:r>
              <w:rPr>
                <w:rFonts w:ascii="Aptos" w:hAnsi="Aptos"/>
                <w:b/>
                <w:bCs/>
                <w:sz w:val="20"/>
                <w:szCs w:val="20"/>
              </w:rPr>
              <w:t>1115</w:t>
            </w:r>
          </w:p>
        </w:tc>
        <w:tc>
          <w:tcPr>
            <w:tcW w:w="2079" w:type="dxa"/>
            <w:shd w:val="clear" w:color="auto" w:fill="D9D9D9" w:themeFill="background1" w:themeFillShade="D9"/>
          </w:tcPr>
          <w:p w14:paraId="448C1F6B" w14:textId="540EC552" w:rsidR="005D077F" w:rsidRPr="00254D1D" w:rsidRDefault="005D077F" w:rsidP="00B635DD">
            <w:pPr>
              <w:rPr>
                <w:rFonts w:ascii="Aptos" w:hAnsi="Aptos"/>
                <w:b/>
                <w:bCs/>
                <w:sz w:val="20"/>
                <w:szCs w:val="20"/>
              </w:rPr>
            </w:pPr>
            <w:r w:rsidRPr="00254D1D">
              <w:rPr>
                <w:rFonts w:ascii="Aptos" w:hAnsi="Aptos"/>
                <w:b/>
                <w:bCs/>
                <w:sz w:val="20"/>
                <w:szCs w:val="20"/>
              </w:rPr>
              <w:t>Southwest Overlay District</w:t>
            </w:r>
          </w:p>
        </w:tc>
        <w:tc>
          <w:tcPr>
            <w:tcW w:w="5034" w:type="dxa"/>
          </w:tcPr>
          <w:p w14:paraId="4E9E141A" w14:textId="799DBE1A" w:rsidR="005D077F" w:rsidRDefault="00777DCB" w:rsidP="00B635DD">
            <w:pPr>
              <w:rPr>
                <w:rFonts w:ascii="Aptos" w:hAnsi="Aptos"/>
                <w:sz w:val="20"/>
                <w:szCs w:val="20"/>
              </w:rPr>
            </w:pPr>
            <w:r>
              <w:rPr>
                <w:rFonts w:ascii="Aptos" w:hAnsi="Aptos"/>
                <w:sz w:val="20"/>
                <w:szCs w:val="20"/>
              </w:rPr>
              <w:t xml:space="preserve">No </w:t>
            </w:r>
            <w:r w:rsidR="00567D9A">
              <w:rPr>
                <w:rFonts w:ascii="Aptos" w:hAnsi="Aptos"/>
                <w:sz w:val="20"/>
                <w:szCs w:val="20"/>
              </w:rPr>
              <w:t xml:space="preserve">substantive </w:t>
            </w:r>
            <w:r>
              <w:rPr>
                <w:rFonts w:ascii="Aptos" w:hAnsi="Aptos"/>
                <w:sz w:val="20"/>
                <w:szCs w:val="20"/>
              </w:rPr>
              <w:t>changes</w:t>
            </w:r>
            <w:r w:rsidR="00567D9A">
              <w:rPr>
                <w:rFonts w:ascii="Aptos" w:hAnsi="Aptos"/>
                <w:sz w:val="20"/>
                <w:szCs w:val="20"/>
              </w:rPr>
              <w:t>. Better corresponding with industrial zoning chapter.</w:t>
            </w:r>
          </w:p>
        </w:tc>
        <w:tc>
          <w:tcPr>
            <w:tcW w:w="6306" w:type="dxa"/>
          </w:tcPr>
          <w:p w14:paraId="634E859D" w14:textId="77777777" w:rsidR="005D077F" w:rsidRDefault="00567D9A" w:rsidP="00B635DD">
            <w:pPr>
              <w:rPr>
                <w:rFonts w:ascii="Aptos" w:hAnsi="Aptos"/>
                <w:sz w:val="20"/>
                <w:szCs w:val="20"/>
              </w:rPr>
            </w:pPr>
            <w:r>
              <w:rPr>
                <w:rFonts w:ascii="Aptos" w:hAnsi="Aptos"/>
                <w:sz w:val="20"/>
                <w:szCs w:val="20"/>
              </w:rPr>
              <w:t>The Southwest is primarily industrial, and the uses and design requirements should be harmonious with Industrial District chapter</w:t>
            </w:r>
          </w:p>
          <w:p w14:paraId="2176072F" w14:textId="15FDFAC1" w:rsidR="00476119" w:rsidRDefault="00476119" w:rsidP="00B635DD">
            <w:pPr>
              <w:rPr>
                <w:rFonts w:ascii="Aptos" w:hAnsi="Aptos"/>
                <w:sz w:val="20"/>
                <w:szCs w:val="20"/>
              </w:rPr>
            </w:pPr>
          </w:p>
        </w:tc>
      </w:tr>
      <w:tr w:rsidR="00DA4A14" w14:paraId="6EC8A037" w14:textId="77777777" w:rsidTr="00777DCB">
        <w:tc>
          <w:tcPr>
            <w:tcW w:w="976" w:type="dxa"/>
            <w:shd w:val="clear" w:color="auto" w:fill="D9D9D9" w:themeFill="background1" w:themeFillShade="D9"/>
          </w:tcPr>
          <w:p w14:paraId="59274EF8" w14:textId="2C0C7287" w:rsidR="005D077F" w:rsidRPr="00D7711C" w:rsidRDefault="005D077F" w:rsidP="00B635DD">
            <w:pPr>
              <w:jc w:val="center"/>
              <w:rPr>
                <w:rFonts w:ascii="Aptos" w:hAnsi="Aptos"/>
                <w:b/>
                <w:bCs/>
                <w:sz w:val="20"/>
                <w:szCs w:val="20"/>
              </w:rPr>
            </w:pPr>
            <w:r>
              <w:rPr>
                <w:rFonts w:ascii="Aptos" w:hAnsi="Aptos"/>
                <w:b/>
                <w:bCs/>
                <w:sz w:val="20"/>
                <w:szCs w:val="20"/>
              </w:rPr>
              <w:lastRenderedPageBreak/>
              <w:t>1116</w:t>
            </w:r>
          </w:p>
        </w:tc>
        <w:tc>
          <w:tcPr>
            <w:tcW w:w="2079" w:type="dxa"/>
            <w:shd w:val="clear" w:color="auto" w:fill="D9D9D9" w:themeFill="background1" w:themeFillShade="D9"/>
          </w:tcPr>
          <w:p w14:paraId="540D5DFA" w14:textId="2542863A" w:rsidR="005D077F" w:rsidRPr="00254D1D" w:rsidRDefault="005D077F" w:rsidP="00B635DD">
            <w:pPr>
              <w:rPr>
                <w:rFonts w:ascii="Aptos" w:hAnsi="Aptos"/>
                <w:b/>
                <w:bCs/>
                <w:sz w:val="20"/>
                <w:szCs w:val="20"/>
              </w:rPr>
            </w:pPr>
            <w:r w:rsidRPr="00254D1D">
              <w:rPr>
                <w:rFonts w:ascii="Aptos" w:hAnsi="Aptos"/>
                <w:b/>
                <w:bCs/>
                <w:sz w:val="20"/>
                <w:szCs w:val="20"/>
              </w:rPr>
              <w:t>Historic District Overlay</w:t>
            </w:r>
          </w:p>
        </w:tc>
        <w:tc>
          <w:tcPr>
            <w:tcW w:w="5034" w:type="dxa"/>
          </w:tcPr>
          <w:p w14:paraId="1FDB3084" w14:textId="6E1FBB18" w:rsidR="005D077F" w:rsidRDefault="00567D9A" w:rsidP="00B635DD">
            <w:pPr>
              <w:rPr>
                <w:rFonts w:ascii="Aptos" w:hAnsi="Aptos"/>
                <w:sz w:val="20"/>
                <w:szCs w:val="20"/>
              </w:rPr>
            </w:pPr>
            <w:r>
              <w:rPr>
                <w:rFonts w:ascii="Aptos" w:hAnsi="Aptos"/>
                <w:sz w:val="20"/>
                <w:szCs w:val="20"/>
              </w:rPr>
              <w:t>Relocated the powers and duties of the Historical Preservation Commission to Chapter 1103</w:t>
            </w:r>
          </w:p>
        </w:tc>
        <w:tc>
          <w:tcPr>
            <w:tcW w:w="6306" w:type="dxa"/>
          </w:tcPr>
          <w:p w14:paraId="0C14B22D" w14:textId="77777777" w:rsidR="005D077F" w:rsidRDefault="00567D9A" w:rsidP="00B635DD">
            <w:pPr>
              <w:rPr>
                <w:rFonts w:ascii="Aptos" w:hAnsi="Aptos"/>
                <w:sz w:val="20"/>
                <w:szCs w:val="20"/>
              </w:rPr>
            </w:pPr>
            <w:r>
              <w:rPr>
                <w:rFonts w:ascii="Aptos" w:hAnsi="Aptos"/>
                <w:sz w:val="20"/>
                <w:szCs w:val="20"/>
              </w:rPr>
              <w:t>Consolidation of all boards and commission duties in one chapter allows for easy reference.</w:t>
            </w:r>
          </w:p>
          <w:p w14:paraId="36E0F29F" w14:textId="5259751D" w:rsidR="00476119" w:rsidRDefault="00476119" w:rsidP="00B635DD">
            <w:pPr>
              <w:rPr>
                <w:rFonts w:ascii="Aptos" w:hAnsi="Aptos"/>
                <w:sz w:val="20"/>
                <w:szCs w:val="20"/>
              </w:rPr>
            </w:pPr>
          </w:p>
        </w:tc>
      </w:tr>
      <w:tr w:rsidR="00DA4A14" w14:paraId="18F91001" w14:textId="77777777" w:rsidTr="00777DCB">
        <w:tc>
          <w:tcPr>
            <w:tcW w:w="976" w:type="dxa"/>
            <w:shd w:val="clear" w:color="auto" w:fill="D9D9D9" w:themeFill="background1" w:themeFillShade="D9"/>
          </w:tcPr>
          <w:p w14:paraId="54F60559" w14:textId="77777777" w:rsidR="005D077F" w:rsidRPr="002B4F1A" w:rsidRDefault="005D077F" w:rsidP="00B635DD">
            <w:pPr>
              <w:jc w:val="center"/>
              <w:rPr>
                <w:rFonts w:ascii="Aptos" w:hAnsi="Aptos"/>
                <w:sz w:val="20"/>
                <w:szCs w:val="20"/>
              </w:rPr>
            </w:pPr>
            <w:r w:rsidRPr="003E1706">
              <w:rPr>
                <w:rFonts w:ascii="Aptos" w:hAnsi="Aptos"/>
                <w:b/>
                <w:bCs/>
                <w:sz w:val="20"/>
                <w:szCs w:val="20"/>
              </w:rPr>
              <w:t>11</w:t>
            </w:r>
            <w:r w:rsidRPr="00D7711C">
              <w:rPr>
                <w:rFonts w:ascii="Aptos" w:hAnsi="Aptos"/>
                <w:b/>
                <w:bCs/>
                <w:sz w:val="20"/>
                <w:szCs w:val="20"/>
              </w:rPr>
              <w:t>20</w:t>
            </w:r>
          </w:p>
        </w:tc>
        <w:tc>
          <w:tcPr>
            <w:tcW w:w="2079" w:type="dxa"/>
            <w:shd w:val="clear" w:color="auto" w:fill="D9D9D9" w:themeFill="background1" w:themeFillShade="D9"/>
          </w:tcPr>
          <w:p w14:paraId="304B93D1" w14:textId="78C612C6" w:rsidR="005D077F" w:rsidRPr="00254D1D" w:rsidRDefault="00567D9A" w:rsidP="00B635DD">
            <w:pPr>
              <w:rPr>
                <w:rFonts w:ascii="Aptos" w:eastAsia="Times New Roman" w:hAnsi="Aptos" w:cs="Segoe UI"/>
                <w:b/>
                <w:bCs/>
                <w:sz w:val="20"/>
                <w:szCs w:val="20"/>
              </w:rPr>
            </w:pPr>
            <w:r>
              <w:rPr>
                <w:rFonts w:ascii="Aptos" w:eastAsia="Times New Roman" w:hAnsi="Aptos" w:cs="Segoe UI"/>
                <w:b/>
                <w:bCs/>
                <w:sz w:val="20"/>
                <w:szCs w:val="20"/>
              </w:rPr>
              <w:t>Site and Building Design Requirements</w:t>
            </w:r>
          </w:p>
        </w:tc>
        <w:tc>
          <w:tcPr>
            <w:tcW w:w="5034" w:type="dxa"/>
          </w:tcPr>
          <w:p w14:paraId="7D37FC99" w14:textId="4021C957" w:rsidR="005D077F" w:rsidRPr="002B4F1A" w:rsidRDefault="00567D9A" w:rsidP="00B635DD">
            <w:pPr>
              <w:rPr>
                <w:rFonts w:ascii="Aptos" w:hAnsi="Aptos"/>
                <w:sz w:val="20"/>
                <w:szCs w:val="20"/>
              </w:rPr>
            </w:pPr>
            <w:r>
              <w:rPr>
                <w:rFonts w:ascii="Aptos" w:eastAsia="Times New Roman" w:hAnsi="Aptos" w:cs="Segoe UI"/>
                <w:sz w:val="20"/>
                <w:szCs w:val="20"/>
              </w:rPr>
              <w:t>C</w:t>
            </w:r>
            <w:r w:rsidR="005D077F" w:rsidRPr="00D701C3">
              <w:rPr>
                <w:rFonts w:ascii="Aptos" w:eastAsia="Times New Roman" w:hAnsi="Aptos" w:cs="Segoe UI"/>
                <w:sz w:val="20"/>
                <w:szCs w:val="20"/>
              </w:rPr>
              <w:t>hapter</w:t>
            </w:r>
            <w:r>
              <w:rPr>
                <w:rFonts w:ascii="Aptos" w:eastAsia="Times New Roman" w:hAnsi="Aptos" w:cs="Segoe UI"/>
                <w:sz w:val="20"/>
                <w:szCs w:val="20"/>
              </w:rPr>
              <w:t xml:space="preserve"> is</w:t>
            </w:r>
            <w:r w:rsidR="005D077F" w:rsidRPr="00D701C3">
              <w:rPr>
                <w:rFonts w:ascii="Aptos" w:eastAsia="Times New Roman" w:hAnsi="Aptos" w:cs="Segoe UI"/>
                <w:sz w:val="20"/>
                <w:szCs w:val="20"/>
              </w:rPr>
              <w:t xml:space="preserve"> more readable and align</w:t>
            </w:r>
            <w:r>
              <w:rPr>
                <w:rFonts w:ascii="Aptos" w:eastAsia="Times New Roman" w:hAnsi="Aptos" w:cs="Segoe UI"/>
                <w:sz w:val="20"/>
                <w:szCs w:val="20"/>
              </w:rPr>
              <w:t xml:space="preserve">s </w:t>
            </w:r>
            <w:r w:rsidR="005D077F" w:rsidRPr="00D701C3">
              <w:rPr>
                <w:rFonts w:ascii="Aptos" w:eastAsia="Times New Roman" w:hAnsi="Aptos" w:cs="Segoe UI"/>
                <w:sz w:val="20"/>
                <w:szCs w:val="20"/>
              </w:rPr>
              <w:t>the requirements with the newly proposed zoning district designations</w:t>
            </w:r>
          </w:p>
        </w:tc>
        <w:tc>
          <w:tcPr>
            <w:tcW w:w="6306" w:type="dxa"/>
          </w:tcPr>
          <w:p w14:paraId="67E26E8B" w14:textId="08D07F8B" w:rsidR="005D077F" w:rsidRPr="002B4F1A" w:rsidRDefault="00567D9A" w:rsidP="00B635DD">
            <w:pPr>
              <w:rPr>
                <w:rFonts w:ascii="Aptos" w:eastAsia="Times New Roman" w:hAnsi="Aptos" w:cs="Segoe UI"/>
                <w:sz w:val="20"/>
                <w:szCs w:val="20"/>
              </w:rPr>
            </w:pPr>
            <w:r>
              <w:rPr>
                <w:rFonts w:ascii="Aptos" w:eastAsia="Times New Roman" w:hAnsi="Aptos" w:cs="Segoe UI"/>
                <w:sz w:val="20"/>
                <w:szCs w:val="20"/>
              </w:rPr>
              <w:t>O</w:t>
            </w:r>
            <w:r w:rsidR="005D077F" w:rsidRPr="002B4F1A">
              <w:rPr>
                <w:rFonts w:ascii="Aptos" w:eastAsia="Times New Roman" w:hAnsi="Aptos" w:cs="Segoe UI"/>
                <w:sz w:val="20"/>
                <w:szCs w:val="20"/>
              </w:rPr>
              <w:t xml:space="preserve">verhauled to reflect the design standards Delaware residents have come to expect from new development and construction and make the chapter easier to comprehend. </w:t>
            </w:r>
            <w:r>
              <w:rPr>
                <w:rFonts w:ascii="Aptos" w:eastAsia="Times New Roman" w:hAnsi="Aptos" w:cs="Segoe UI"/>
                <w:sz w:val="20"/>
                <w:szCs w:val="20"/>
              </w:rPr>
              <w:t xml:space="preserve">The </w:t>
            </w:r>
            <w:r w:rsidR="005D077F" w:rsidRPr="002B4F1A">
              <w:rPr>
                <w:rFonts w:ascii="Aptos" w:eastAsia="Times New Roman" w:hAnsi="Aptos" w:cs="Segoe UI"/>
                <w:sz w:val="20"/>
                <w:szCs w:val="20"/>
              </w:rPr>
              <w:t>chapter currently</w:t>
            </w:r>
            <w:r>
              <w:rPr>
                <w:rFonts w:ascii="Aptos" w:eastAsia="Times New Roman" w:hAnsi="Aptos" w:cs="Segoe UI"/>
                <w:sz w:val="20"/>
                <w:szCs w:val="20"/>
              </w:rPr>
              <w:t xml:space="preserve"> improperly</w:t>
            </w:r>
            <w:r w:rsidR="005D077F" w:rsidRPr="002B4F1A">
              <w:rPr>
                <w:rFonts w:ascii="Aptos" w:eastAsia="Times New Roman" w:hAnsi="Aptos" w:cs="Segoe UI"/>
                <w:sz w:val="20"/>
                <w:szCs w:val="20"/>
              </w:rPr>
              <w:t xml:space="preserve"> houses a variety of regulations not directly related to design including landscaping, platting requirements, and open space regulations. </w:t>
            </w:r>
          </w:p>
          <w:p w14:paraId="74B7B92A" w14:textId="77777777" w:rsidR="005D077F" w:rsidRPr="002B4F1A" w:rsidRDefault="005D077F" w:rsidP="00B635DD">
            <w:pPr>
              <w:rPr>
                <w:rFonts w:ascii="Aptos" w:eastAsia="Times New Roman" w:hAnsi="Aptos" w:cs="Aptos"/>
              </w:rPr>
            </w:pPr>
          </w:p>
          <w:p w14:paraId="474764F6" w14:textId="77777777" w:rsidR="005D077F" w:rsidRPr="00D24B69" w:rsidRDefault="005D077F" w:rsidP="00B635DD">
            <w:pPr>
              <w:rPr>
                <w:rFonts w:ascii="Aptos" w:hAnsi="Aptos"/>
                <w:sz w:val="20"/>
                <w:szCs w:val="20"/>
              </w:rPr>
            </w:pPr>
          </w:p>
        </w:tc>
      </w:tr>
      <w:tr w:rsidR="00DA4A14" w14:paraId="195B3172" w14:textId="77777777" w:rsidTr="00777DCB">
        <w:tc>
          <w:tcPr>
            <w:tcW w:w="976" w:type="dxa"/>
            <w:shd w:val="clear" w:color="auto" w:fill="D9D9D9" w:themeFill="background1" w:themeFillShade="D9"/>
          </w:tcPr>
          <w:p w14:paraId="200F3224" w14:textId="6D4248AD" w:rsidR="005D077F" w:rsidRPr="003E1706" w:rsidRDefault="005D077F" w:rsidP="00B635DD">
            <w:pPr>
              <w:jc w:val="center"/>
              <w:rPr>
                <w:rFonts w:ascii="Aptos" w:hAnsi="Aptos"/>
                <w:b/>
                <w:bCs/>
                <w:sz w:val="20"/>
                <w:szCs w:val="20"/>
              </w:rPr>
            </w:pPr>
            <w:r>
              <w:rPr>
                <w:rFonts w:ascii="Aptos" w:hAnsi="Aptos"/>
                <w:b/>
                <w:bCs/>
                <w:sz w:val="20"/>
                <w:szCs w:val="20"/>
              </w:rPr>
              <w:t>1121</w:t>
            </w:r>
          </w:p>
        </w:tc>
        <w:tc>
          <w:tcPr>
            <w:tcW w:w="2079" w:type="dxa"/>
            <w:shd w:val="clear" w:color="auto" w:fill="D9D9D9" w:themeFill="background1" w:themeFillShade="D9"/>
          </w:tcPr>
          <w:p w14:paraId="02034F25" w14:textId="4B7333C0" w:rsidR="005D077F" w:rsidRPr="00254D1D" w:rsidRDefault="005D077F" w:rsidP="00B635DD">
            <w:pPr>
              <w:rPr>
                <w:rFonts w:ascii="Aptos" w:eastAsia="Times New Roman" w:hAnsi="Aptos" w:cs="Segoe UI"/>
                <w:b/>
                <w:bCs/>
                <w:sz w:val="20"/>
                <w:szCs w:val="20"/>
              </w:rPr>
            </w:pPr>
            <w:r w:rsidRPr="00254D1D">
              <w:rPr>
                <w:rFonts w:ascii="Aptos" w:eastAsia="Times New Roman" w:hAnsi="Aptos" w:cs="Segoe UI"/>
                <w:b/>
                <w:bCs/>
                <w:sz w:val="20"/>
                <w:szCs w:val="20"/>
              </w:rPr>
              <w:t>Landscaping and Screening</w:t>
            </w:r>
          </w:p>
        </w:tc>
        <w:tc>
          <w:tcPr>
            <w:tcW w:w="5034" w:type="dxa"/>
          </w:tcPr>
          <w:p w14:paraId="3C615B27" w14:textId="4C88BFBA" w:rsidR="005D077F" w:rsidRDefault="00567D9A" w:rsidP="00B635DD">
            <w:pPr>
              <w:rPr>
                <w:rFonts w:ascii="Aptos" w:eastAsia="Times New Roman" w:hAnsi="Aptos" w:cs="Segoe UI"/>
                <w:sz w:val="20"/>
                <w:szCs w:val="20"/>
              </w:rPr>
            </w:pPr>
            <w:r>
              <w:rPr>
                <w:rFonts w:ascii="Aptos" w:eastAsia="Times New Roman" w:hAnsi="Aptos" w:cs="Segoe UI"/>
                <w:sz w:val="20"/>
                <w:szCs w:val="20"/>
              </w:rPr>
              <w:t>Updated requirements for street trees, buffers, and landscaping in and around parking lots. Added screening requirements for mechanical equipment</w:t>
            </w:r>
          </w:p>
          <w:p w14:paraId="53FFFD88" w14:textId="7C97D987" w:rsidR="00567D9A" w:rsidRPr="002B4F1A" w:rsidRDefault="00567D9A" w:rsidP="00B635DD">
            <w:pPr>
              <w:rPr>
                <w:rFonts w:ascii="Aptos" w:eastAsia="Times New Roman" w:hAnsi="Aptos" w:cs="Segoe UI"/>
                <w:sz w:val="20"/>
                <w:szCs w:val="20"/>
              </w:rPr>
            </w:pPr>
          </w:p>
        </w:tc>
        <w:tc>
          <w:tcPr>
            <w:tcW w:w="6306" w:type="dxa"/>
          </w:tcPr>
          <w:p w14:paraId="1EAE2201" w14:textId="1B76E5D0" w:rsidR="005D077F" w:rsidRPr="002B4F1A" w:rsidRDefault="00567D9A" w:rsidP="00B635DD">
            <w:pPr>
              <w:rPr>
                <w:rFonts w:ascii="Aptos" w:eastAsia="Times New Roman" w:hAnsi="Aptos" w:cs="Segoe UI"/>
                <w:sz w:val="20"/>
                <w:szCs w:val="20"/>
              </w:rPr>
            </w:pPr>
            <w:r>
              <w:rPr>
                <w:rFonts w:ascii="Aptos" w:eastAsia="Times New Roman" w:hAnsi="Aptos" w:cs="Segoe UI"/>
                <w:sz w:val="20"/>
                <w:szCs w:val="20"/>
              </w:rPr>
              <w:t>City Forester proposed updates to street tree requirements. Buffer and landscape requirements</w:t>
            </w:r>
            <w:r w:rsidR="00853D17">
              <w:rPr>
                <w:rFonts w:ascii="Aptos" w:eastAsia="Times New Roman" w:hAnsi="Aptos" w:cs="Segoe UI"/>
                <w:sz w:val="20"/>
                <w:szCs w:val="20"/>
              </w:rPr>
              <w:t xml:space="preserve"> no allow for raingardens and bioswales. </w:t>
            </w:r>
          </w:p>
        </w:tc>
      </w:tr>
      <w:tr w:rsidR="00DA4A14" w14:paraId="38A1D7A9" w14:textId="77777777" w:rsidTr="00777DCB">
        <w:tc>
          <w:tcPr>
            <w:tcW w:w="976" w:type="dxa"/>
            <w:shd w:val="clear" w:color="auto" w:fill="D9D9D9" w:themeFill="background1" w:themeFillShade="D9"/>
          </w:tcPr>
          <w:p w14:paraId="44670A0F" w14:textId="43D33668" w:rsidR="005D077F" w:rsidRPr="003E1706" w:rsidRDefault="005D077F" w:rsidP="00B635DD">
            <w:pPr>
              <w:jc w:val="center"/>
              <w:rPr>
                <w:rFonts w:ascii="Aptos" w:hAnsi="Aptos"/>
                <w:b/>
                <w:bCs/>
                <w:sz w:val="20"/>
                <w:szCs w:val="20"/>
              </w:rPr>
            </w:pPr>
            <w:r>
              <w:rPr>
                <w:rFonts w:ascii="Aptos" w:hAnsi="Aptos"/>
                <w:b/>
                <w:bCs/>
                <w:sz w:val="20"/>
                <w:szCs w:val="20"/>
              </w:rPr>
              <w:t>1122</w:t>
            </w:r>
          </w:p>
        </w:tc>
        <w:tc>
          <w:tcPr>
            <w:tcW w:w="2079" w:type="dxa"/>
            <w:shd w:val="clear" w:color="auto" w:fill="D9D9D9" w:themeFill="background1" w:themeFillShade="D9"/>
          </w:tcPr>
          <w:p w14:paraId="3FF9B0CC" w14:textId="011338B6" w:rsidR="005D077F" w:rsidRPr="00254D1D" w:rsidRDefault="005D077F" w:rsidP="00B635DD">
            <w:pPr>
              <w:rPr>
                <w:rFonts w:ascii="Aptos" w:eastAsia="Times New Roman" w:hAnsi="Aptos" w:cs="Segoe UI"/>
                <w:b/>
                <w:bCs/>
                <w:sz w:val="20"/>
                <w:szCs w:val="20"/>
              </w:rPr>
            </w:pPr>
            <w:r w:rsidRPr="00254D1D">
              <w:rPr>
                <w:rFonts w:ascii="Aptos" w:eastAsia="Times New Roman" w:hAnsi="Aptos" w:cs="Segoe UI"/>
                <w:b/>
                <w:bCs/>
                <w:sz w:val="20"/>
                <w:szCs w:val="20"/>
              </w:rPr>
              <w:t>Tree Preservation</w:t>
            </w:r>
          </w:p>
        </w:tc>
        <w:tc>
          <w:tcPr>
            <w:tcW w:w="5034" w:type="dxa"/>
          </w:tcPr>
          <w:p w14:paraId="3312E8AD" w14:textId="77777777" w:rsidR="005D077F" w:rsidRDefault="00476119" w:rsidP="00B635DD">
            <w:pPr>
              <w:rPr>
                <w:rFonts w:ascii="Aptos" w:eastAsia="Times New Roman" w:hAnsi="Aptos" w:cs="Segoe UI"/>
                <w:sz w:val="20"/>
                <w:szCs w:val="20"/>
              </w:rPr>
            </w:pPr>
            <w:r>
              <w:rPr>
                <w:rFonts w:ascii="Aptos" w:eastAsia="Times New Roman" w:hAnsi="Aptos" w:cs="Segoe UI"/>
                <w:sz w:val="20"/>
                <w:szCs w:val="20"/>
              </w:rPr>
              <w:t>Minor updates to verbiage and procedures.</w:t>
            </w:r>
          </w:p>
          <w:p w14:paraId="690069A8" w14:textId="365E531B" w:rsidR="00476119" w:rsidRPr="002B4F1A" w:rsidRDefault="00476119" w:rsidP="00B635DD">
            <w:pPr>
              <w:rPr>
                <w:rFonts w:ascii="Aptos" w:eastAsia="Times New Roman" w:hAnsi="Aptos" w:cs="Segoe UI"/>
                <w:sz w:val="20"/>
                <w:szCs w:val="20"/>
              </w:rPr>
            </w:pPr>
          </w:p>
        </w:tc>
        <w:tc>
          <w:tcPr>
            <w:tcW w:w="6306" w:type="dxa"/>
          </w:tcPr>
          <w:p w14:paraId="5553399F" w14:textId="77777777" w:rsidR="005D077F" w:rsidRDefault="00476119" w:rsidP="00B635DD">
            <w:pPr>
              <w:rPr>
                <w:rFonts w:ascii="Aptos" w:eastAsia="Times New Roman" w:hAnsi="Aptos" w:cs="Segoe UI"/>
                <w:sz w:val="20"/>
                <w:szCs w:val="20"/>
              </w:rPr>
            </w:pPr>
            <w:r>
              <w:rPr>
                <w:rFonts w:ascii="Aptos" w:eastAsia="Times New Roman" w:hAnsi="Aptos" w:cs="Segoe UI"/>
                <w:sz w:val="20"/>
                <w:szCs w:val="20"/>
              </w:rPr>
              <w:t>Updates reflect procedural changes to ensure intent of regulations is maintained.</w:t>
            </w:r>
          </w:p>
          <w:p w14:paraId="4FE25348" w14:textId="112F6577" w:rsidR="00476119" w:rsidRPr="002B4F1A" w:rsidRDefault="00476119" w:rsidP="00B635DD">
            <w:pPr>
              <w:rPr>
                <w:rFonts w:ascii="Aptos" w:eastAsia="Times New Roman" w:hAnsi="Aptos" w:cs="Segoe UI"/>
                <w:sz w:val="20"/>
                <w:szCs w:val="20"/>
              </w:rPr>
            </w:pPr>
          </w:p>
        </w:tc>
      </w:tr>
      <w:tr w:rsidR="00DA4A14" w14:paraId="0CBCFB29" w14:textId="77777777" w:rsidTr="00777DCB">
        <w:trPr>
          <w:trHeight w:val="4184"/>
        </w:trPr>
        <w:tc>
          <w:tcPr>
            <w:tcW w:w="976" w:type="dxa"/>
            <w:shd w:val="clear" w:color="auto" w:fill="D9D9D9" w:themeFill="background1" w:themeFillShade="D9"/>
          </w:tcPr>
          <w:p w14:paraId="25E7B9A7" w14:textId="77777777" w:rsidR="005D077F" w:rsidRPr="00D24B69" w:rsidRDefault="005D077F" w:rsidP="00B635DD">
            <w:pPr>
              <w:jc w:val="center"/>
              <w:rPr>
                <w:rFonts w:ascii="Aptos" w:hAnsi="Aptos"/>
                <w:sz w:val="20"/>
                <w:szCs w:val="20"/>
              </w:rPr>
            </w:pPr>
            <w:r w:rsidRPr="00D7711C">
              <w:rPr>
                <w:rFonts w:ascii="Aptos" w:hAnsi="Aptos"/>
                <w:b/>
                <w:bCs/>
                <w:sz w:val="20"/>
                <w:szCs w:val="20"/>
              </w:rPr>
              <w:t>1123</w:t>
            </w:r>
          </w:p>
        </w:tc>
        <w:tc>
          <w:tcPr>
            <w:tcW w:w="2079" w:type="dxa"/>
            <w:shd w:val="clear" w:color="auto" w:fill="D9D9D9" w:themeFill="background1" w:themeFillShade="D9"/>
          </w:tcPr>
          <w:p w14:paraId="6BB4A38A" w14:textId="35669FAC" w:rsidR="005D077F" w:rsidRPr="00254D1D" w:rsidRDefault="001C3D3C" w:rsidP="00B635DD">
            <w:pPr>
              <w:rPr>
                <w:rFonts w:ascii="Aptos" w:hAnsi="Aptos"/>
                <w:b/>
                <w:bCs/>
                <w:sz w:val="20"/>
                <w:szCs w:val="20"/>
              </w:rPr>
            </w:pPr>
            <w:r>
              <w:rPr>
                <w:rFonts w:ascii="Aptos" w:hAnsi="Aptos"/>
                <w:b/>
                <w:bCs/>
                <w:sz w:val="20"/>
                <w:szCs w:val="20"/>
              </w:rPr>
              <w:t>Parking &amp; Loading</w:t>
            </w:r>
          </w:p>
        </w:tc>
        <w:tc>
          <w:tcPr>
            <w:tcW w:w="5034" w:type="dxa"/>
          </w:tcPr>
          <w:p w14:paraId="41F596BA" w14:textId="5E728DBE" w:rsidR="005D077F" w:rsidRDefault="005D077F" w:rsidP="00B635DD">
            <w:pPr>
              <w:rPr>
                <w:rFonts w:ascii="Aptos" w:hAnsi="Aptos"/>
                <w:sz w:val="20"/>
                <w:szCs w:val="20"/>
              </w:rPr>
            </w:pPr>
            <w:r>
              <w:rPr>
                <w:rFonts w:ascii="Aptos" w:hAnsi="Aptos"/>
                <w:sz w:val="20"/>
                <w:szCs w:val="20"/>
              </w:rPr>
              <w:t>P</w:t>
            </w:r>
            <w:r w:rsidRPr="0097457E">
              <w:rPr>
                <w:rFonts w:ascii="Aptos" w:hAnsi="Aptos"/>
                <w:sz w:val="20"/>
                <w:szCs w:val="20"/>
              </w:rPr>
              <w:t>rovide a more flexible and less prescriptive parking code for motorized vehicles, while introducing minimum parking requirements for non-motorized transportation options such as bicycle parking. Vehicular parking minimums have been reduced across all land-uses to adjust to changing lifestyles, remote working, demand for new housing and their increasing costs, and environmental considerations. While vehicular parking minimum requirements will be reduced, a baseline of required parking will remain to ensure an appropriate amount of parking facilities are available while reducing the possibility that an excess amount of parking is mandated, which can result in unproductive use of land and unnecessary costs for new development.</w:t>
            </w:r>
          </w:p>
          <w:p w14:paraId="45C9F37D" w14:textId="77777777" w:rsidR="005D077F" w:rsidRPr="00D24B69" w:rsidRDefault="005D077F" w:rsidP="00B635DD">
            <w:pPr>
              <w:rPr>
                <w:rFonts w:ascii="Aptos" w:hAnsi="Aptos"/>
                <w:sz w:val="20"/>
                <w:szCs w:val="20"/>
              </w:rPr>
            </w:pPr>
          </w:p>
        </w:tc>
        <w:tc>
          <w:tcPr>
            <w:tcW w:w="6306" w:type="dxa"/>
          </w:tcPr>
          <w:p w14:paraId="587E9F95" w14:textId="753C1FC4" w:rsidR="005D077F" w:rsidRPr="00D24B69" w:rsidRDefault="00AE6558" w:rsidP="00B635DD">
            <w:pPr>
              <w:rPr>
                <w:rFonts w:ascii="Aptos" w:hAnsi="Aptos"/>
                <w:sz w:val="20"/>
                <w:szCs w:val="20"/>
              </w:rPr>
            </w:pPr>
            <w:r>
              <w:rPr>
                <w:rFonts w:ascii="Aptos" w:hAnsi="Aptos"/>
                <w:sz w:val="20"/>
                <w:szCs w:val="20"/>
              </w:rPr>
              <w:t>P</w:t>
            </w:r>
            <w:r w:rsidR="005D077F" w:rsidRPr="00615341">
              <w:rPr>
                <w:rFonts w:ascii="Aptos" w:hAnsi="Aptos"/>
                <w:sz w:val="20"/>
                <w:szCs w:val="20"/>
              </w:rPr>
              <w:t>arking minimums based on number of employees and net floor areas as opposed to gross floor areas for commercial, retail, and industrial uses. Land uses and community facilities with more intermittent and unpredictable parking demand will now be required to develop an individualized parking and circulation plan that assesses site specific needs and varying demands. Recognizing that parking mandates can increase the cost of housing, residential uses have been reduced from 2 spaces per dwelling unit to one space per dwelling unit for single, two, three, and four family dwellings, and from 2 spaces to 1.5 spaces per unit for multi-family dwellings. Reductions in parking minimums encourages a more market-oriented approach for new development rather than a one-size fits all approach, while allowing for new development to establish more parking facilities if they deem it appropriate. A new addition to the parking code includes the establishment of minimum bicycle parking requirements for all land uses.</w:t>
            </w:r>
          </w:p>
        </w:tc>
      </w:tr>
      <w:tr w:rsidR="00DA4A14" w14:paraId="3C1294D0" w14:textId="77777777" w:rsidTr="00777DCB">
        <w:tc>
          <w:tcPr>
            <w:tcW w:w="976" w:type="dxa"/>
            <w:shd w:val="clear" w:color="auto" w:fill="D9D9D9" w:themeFill="background1" w:themeFillShade="D9"/>
          </w:tcPr>
          <w:p w14:paraId="17367A1F" w14:textId="5605D52E" w:rsidR="005D077F" w:rsidRPr="00D7711C" w:rsidRDefault="005D077F" w:rsidP="00B635DD">
            <w:pPr>
              <w:jc w:val="center"/>
              <w:rPr>
                <w:rFonts w:ascii="Aptos" w:hAnsi="Aptos"/>
                <w:b/>
                <w:bCs/>
                <w:sz w:val="20"/>
                <w:szCs w:val="20"/>
              </w:rPr>
            </w:pPr>
            <w:r>
              <w:rPr>
                <w:rFonts w:ascii="Aptos" w:hAnsi="Aptos"/>
                <w:b/>
                <w:bCs/>
                <w:sz w:val="20"/>
                <w:szCs w:val="20"/>
              </w:rPr>
              <w:lastRenderedPageBreak/>
              <w:t>1124</w:t>
            </w:r>
          </w:p>
        </w:tc>
        <w:tc>
          <w:tcPr>
            <w:tcW w:w="2079" w:type="dxa"/>
            <w:shd w:val="clear" w:color="auto" w:fill="D9D9D9" w:themeFill="background1" w:themeFillShade="D9"/>
          </w:tcPr>
          <w:p w14:paraId="1FF7A32C" w14:textId="194CF843" w:rsidR="005D077F" w:rsidRPr="00254D1D" w:rsidRDefault="005D077F" w:rsidP="009619C7">
            <w:pPr>
              <w:rPr>
                <w:rFonts w:ascii="Aptos" w:eastAsia="Times New Roman" w:hAnsi="Aptos" w:cs="Segoe UI"/>
                <w:b/>
                <w:bCs/>
                <w:sz w:val="20"/>
                <w:szCs w:val="20"/>
              </w:rPr>
            </w:pPr>
            <w:r w:rsidRPr="00254D1D">
              <w:rPr>
                <w:rFonts w:ascii="Aptos" w:eastAsia="Times New Roman" w:hAnsi="Aptos" w:cs="Segoe UI"/>
                <w:b/>
                <w:bCs/>
                <w:sz w:val="20"/>
                <w:szCs w:val="20"/>
              </w:rPr>
              <w:t>Lighting</w:t>
            </w:r>
          </w:p>
        </w:tc>
        <w:tc>
          <w:tcPr>
            <w:tcW w:w="5034" w:type="dxa"/>
          </w:tcPr>
          <w:p w14:paraId="7A3B9364" w14:textId="3AF14C04" w:rsidR="005D077F" w:rsidRDefault="003F2268" w:rsidP="009619C7">
            <w:pPr>
              <w:rPr>
                <w:rFonts w:ascii="Aptos" w:eastAsia="Times New Roman" w:hAnsi="Aptos" w:cs="Segoe UI"/>
                <w:sz w:val="20"/>
                <w:szCs w:val="20"/>
              </w:rPr>
            </w:pPr>
            <w:r>
              <w:rPr>
                <w:rFonts w:ascii="Aptos" w:eastAsia="Times New Roman" w:hAnsi="Aptos" w:cs="Segoe UI"/>
                <w:sz w:val="20"/>
                <w:szCs w:val="20"/>
              </w:rPr>
              <w:t>Reduc</w:t>
            </w:r>
            <w:r w:rsidR="00EC05DB">
              <w:rPr>
                <w:rFonts w:ascii="Aptos" w:eastAsia="Times New Roman" w:hAnsi="Aptos" w:cs="Segoe UI"/>
                <w:sz w:val="20"/>
                <w:szCs w:val="20"/>
              </w:rPr>
              <w:t>ed pole height requirements in residential</w:t>
            </w:r>
          </w:p>
        </w:tc>
        <w:tc>
          <w:tcPr>
            <w:tcW w:w="6306" w:type="dxa"/>
          </w:tcPr>
          <w:p w14:paraId="54238608" w14:textId="77777777" w:rsidR="005D077F" w:rsidRDefault="00853D17" w:rsidP="00845662">
            <w:pPr>
              <w:rPr>
                <w:rFonts w:ascii="Aptos" w:eastAsia="Times New Roman" w:hAnsi="Aptos" w:cs="Segoe UI"/>
                <w:sz w:val="20"/>
                <w:szCs w:val="20"/>
              </w:rPr>
            </w:pPr>
            <w:r>
              <w:rPr>
                <w:rFonts w:ascii="Aptos" w:eastAsia="Times New Roman" w:hAnsi="Aptos" w:cs="Segoe UI"/>
                <w:sz w:val="20"/>
                <w:szCs w:val="20"/>
              </w:rPr>
              <w:t>More consideration for light pollution in residential neighborhoods and in commercial development that abuts residentially used properties.</w:t>
            </w:r>
          </w:p>
          <w:p w14:paraId="5A925D4F" w14:textId="7E9BB6B1" w:rsidR="00476119" w:rsidRDefault="00476119" w:rsidP="00845662">
            <w:pPr>
              <w:rPr>
                <w:rFonts w:ascii="Aptos" w:eastAsia="Times New Roman" w:hAnsi="Aptos" w:cs="Segoe UI"/>
                <w:sz w:val="20"/>
                <w:szCs w:val="20"/>
              </w:rPr>
            </w:pPr>
          </w:p>
        </w:tc>
      </w:tr>
      <w:tr w:rsidR="00DA4A14" w14:paraId="50C09C23" w14:textId="77777777" w:rsidTr="00777DCB">
        <w:tc>
          <w:tcPr>
            <w:tcW w:w="976" w:type="dxa"/>
            <w:shd w:val="clear" w:color="auto" w:fill="D9D9D9" w:themeFill="background1" w:themeFillShade="D9"/>
          </w:tcPr>
          <w:p w14:paraId="0651CC9A" w14:textId="7C78DC58" w:rsidR="005D077F" w:rsidRDefault="005D077F" w:rsidP="00B635DD">
            <w:pPr>
              <w:jc w:val="center"/>
              <w:rPr>
                <w:rFonts w:ascii="Aptos" w:hAnsi="Aptos"/>
                <w:b/>
                <w:bCs/>
                <w:sz w:val="20"/>
                <w:szCs w:val="20"/>
              </w:rPr>
            </w:pPr>
            <w:r>
              <w:rPr>
                <w:rFonts w:ascii="Aptos" w:hAnsi="Aptos"/>
                <w:b/>
                <w:bCs/>
                <w:sz w:val="20"/>
                <w:szCs w:val="20"/>
              </w:rPr>
              <w:t>1125</w:t>
            </w:r>
          </w:p>
        </w:tc>
        <w:tc>
          <w:tcPr>
            <w:tcW w:w="2079" w:type="dxa"/>
            <w:shd w:val="clear" w:color="auto" w:fill="D9D9D9" w:themeFill="background1" w:themeFillShade="D9"/>
          </w:tcPr>
          <w:p w14:paraId="0B22EF0A" w14:textId="2FDB26E9" w:rsidR="005D077F" w:rsidRPr="00254D1D" w:rsidRDefault="00254D1D" w:rsidP="009619C7">
            <w:pPr>
              <w:rPr>
                <w:rFonts w:ascii="Aptos" w:eastAsia="Times New Roman" w:hAnsi="Aptos" w:cs="Segoe UI"/>
                <w:b/>
                <w:bCs/>
                <w:sz w:val="20"/>
                <w:szCs w:val="20"/>
              </w:rPr>
            </w:pPr>
            <w:r w:rsidRPr="00254D1D">
              <w:rPr>
                <w:rFonts w:ascii="Aptos" w:eastAsia="Times New Roman" w:hAnsi="Aptos" w:cs="Segoe UI"/>
                <w:b/>
                <w:bCs/>
                <w:sz w:val="20"/>
                <w:szCs w:val="20"/>
              </w:rPr>
              <w:t>Signage</w:t>
            </w:r>
          </w:p>
        </w:tc>
        <w:tc>
          <w:tcPr>
            <w:tcW w:w="5034" w:type="dxa"/>
          </w:tcPr>
          <w:p w14:paraId="563903DC" w14:textId="42E7F09E" w:rsidR="005D077F" w:rsidRDefault="00853D17" w:rsidP="009619C7">
            <w:pPr>
              <w:rPr>
                <w:rFonts w:ascii="Aptos" w:eastAsia="Times New Roman" w:hAnsi="Aptos" w:cs="Segoe UI"/>
                <w:sz w:val="20"/>
                <w:szCs w:val="20"/>
              </w:rPr>
            </w:pPr>
            <w:r>
              <w:rPr>
                <w:rFonts w:ascii="Aptos" w:eastAsia="Times New Roman" w:hAnsi="Aptos" w:cs="Segoe UI"/>
                <w:sz w:val="20"/>
                <w:szCs w:val="20"/>
              </w:rPr>
              <w:t>TBD</w:t>
            </w:r>
          </w:p>
        </w:tc>
        <w:tc>
          <w:tcPr>
            <w:tcW w:w="6306" w:type="dxa"/>
          </w:tcPr>
          <w:p w14:paraId="3FDA765A" w14:textId="77777777" w:rsidR="005D077F" w:rsidRDefault="00853D17" w:rsidP="00845662">
            <w:pPr>
              <w:rPr>
                <w:rFonts w:ascii="Aptos" w:eastAsia="Times New Roman" w:hAnsi="Aptos" w:cs="Segoe UI"/>
                <w:sz w:val="20"/>
                <w:szCs w:val="20"/>
              </w:rPr>
            </w:pPr>
            <w:r>
              <w:rPr>
                <w:rFonts w:ascii="Aptos" w:eastAsia="Times New Roman" w:hAnsi="Aptos" w:cs="Segoe UI"/>
                <w:sz w:val="20"/>
                <w:szCs w:val="20"/>
              </w:rPr>
              <w:t>The chapter is being reviewed externally and proposed changes will be provided by an outside consultant. There are many first amendment implications in sign codes</w:t>
            </w:r>
            <w:r w:rsidR="00DA4A14">
              <w:rPr>
                <w:rFonts w:ascii="Aptos" w:eastAsia="Times New Roman" w:hAnsi="Aptos" w:cs="Segoe UI"/>
                <w:sz w:val="20"/>
                <w:szCs w:val="20"/>
              </w:rPr>
              <w:t xml:space="preserve"> that require additional consideration.</w:t>
            </w:r>
          </w:p>
          <w:p w14:paraId="6455F5B9" w14:textId="503B56AD" w:rsidR="00476119" w:rsidRDefault="00476119" w:rsidP="00845662">
            <w:pPr>
              <w:rPr>
                <w:rFonts w:ascii="Aptos" w:eastAsia="Times New Roman" w:hAnsi="Aptos" w:cs="Segoe UI"/>
                <w:sz w:val="20"/>
                <w:szCs w:val="20"/>
              </w:rPr>
            </w:pPr>
          </w:p>
        </w:tc>
      </w:tr>
      <w:tr w:rsidR="00DA4A14" w14:paraId="6BFB3B59" w14:textId="77777777" w:rsidTr="00777DCB">
        <w:tc>
          <w:tcPr>
            <w:tcW w:w="976" w:type="dxa"/>
            <w:shd w:val="clear" w:color="auto" w:fill="D9D9D9" w:themeFill="background1" w:themeFillShade="D9"/>
          </w:tcPr>
          <w:p w14:paraId="48FC1A2D" w14:textId="7720BE0A" w:rsidR="005D077F" w:rsidRPr="00D24B69" w:rsidRDefault="005D077F" w:rsidP="00B635DD">
            <w:pPr>
              <w:jc w:val="center"/>
              <w:rPr>
                <w:rFonts w:ascii="Aptos" w:hAnsi="Aptos"/>
                <w:sz w:val="20"/>
                <w:szCs w:val="20"/>
              </w:rPr>
            </w:pPr>
            <w:r w:rsidRPr="00D7711C">
              <w:rPr>
                <w:rFonts w:ascii="Aptos" w:hAnsi="Aptos"/>
                <w:b/>
                <w:bCs/>
                <w:sz w:val="20"/>
                <w:szCs w:val="20"/>
              </w:rPr>
              <w:t>1130</w:t>
            </w:r>
          </w:p>
        </w:tc>
        <w:tc>
          <w:tcPr>
            <w:tcW w:w="2079" w:type="dxa"/>
            <w:shd w:val="clear" w:color="auto" w:fill="D9D9D9" w:themeFill="background1" w:themeFillShade="D9"/>
          </w:tcPr>
          <w:p w14:paraId="7BA63BFD" w14:textId="326B73E4" w:rsidR="005D077F" w:rsidRPr="00254D1D" w:rsidRDefault="00254D1D" w:rsidP="009619C7">
            <w:pPr>
              <w:rPr>
                <w:rFonts w:ascii="Aptos" w:eastAsia="Times New Roman" w:hAnsi="Aptos" w:cs="Segoe UI"/>
                <w:b/>
                <w:bCs/>
                <w:sz w:val="20"/>
                <w:szCs w:val="20"/>
              </w:rPr>
            </w:pPr>
            <w:r w:rsidRPr="00254D1D">
              <w:rPr>
                <w:rFonts w:ascii="Aptos" w:eastAsia="Times New Roman" w:hAnsi="Aptos" w:cs="Segoe UI"/>
                <w:b/>
                <w:bCs/>
                <w:sz w:val="20"/>
                <w:szCs w:val="20"/>
              </w:rPr>
              <w:t>Accessory Structures &amp; Usage</w:t>
            </w:r>
          </w:p>
        </w:tc>
        <w:tc>
          <w:tcPr>
            <w:tcW w:w="5034" w:type="dxa"/>
          </w:tcPr>
          <w:p w14:paraId="655036C5" w14:textId="73473FE7" w:rsidR="00853D17" w:rsidRDefault="00853D17" w:rsidP="00853D17">
            <w:pPr>
              <w:rPr>
                <w:rFonts w:ascii="Aptos" w:eastAsia="Times New Roman" w:hAnsi="Aptos" w:cs="Segoe UI"/>
                <w:sz w:val="20"/>
                <w:szCs w:val="20"/>
              </w:rPr>
            </w:pPr>
            <w:r>
              <w:rPr>
                <w:rFonts w:ascii="Aptos" w:eastAsia="Times New Roman" w:hAnsi="Aptos" w:cs="Segoe UI"/>
                <w:sz w:val="20"/>
                <w:szCs w:val="20"/>
              </w:rPr>
              <w:t>C</w:t>
            </w:r>
            <w:r w:rsidRPr="009619C7">
              <w:rPr>
                <w:rFonts w:ascii="Aptos" w:eastAsia="Times New Roman" w:hAnsi="Aptos" w:cs="Segoe UI"/>
                <w:sz w:val="20"/>
                <w:szCs w:val="20"/>
              </w:rPr>
              <w:t>ombine p</w:t>
            </w:r>
            <w:r w:rsidR="00DA4A14">
              <w:rPr>
                <w:rFonts w:ascii="Aptos" w:eastAsia="Times New Roman" w:hAnsi="Aptos" w:cs="Segoe UI"/>
                <w:sz w:val="20"/>
                <w:szCs w:val="20"/>
              </w:rPr>
              <w:t>arts</w:t>
            </w:r>
            <w:r w:rsidRPr="009619C7">
              <w:rPr>
                <w:rFonts w:ascii="Aptos" w:eastAsia="Times New Roman" w:hAnsi="Aptos" w:cs="Segoe UI"/>
                <w:sz w:val="20"/>
                <w:szCs w:val="20"/>
              </w:rPr>
              <w:t xml:space="preserve"> of four different chapters: Fence and Wall Regulations, Accessory Structures, Commercial Regulations, and Industrial Regulations.</w:t>
            </w:r>
          </w:p>
          <w:p w14:paraId="68BE6564" w14:textId="77777777" w:rsidR="005D077F" w:rsidRPr="009619C7" w:rsidRDefault="005D077F" w:rsidP="009619C7">
            <w:pPr>
              <w:rPr>
                <w:rFonts w:ascii="Aptos" w:eastAsia="Times New Roman" w:hAnsi="Aptos" w:cs="Aptos"/>
              </w:rPr>
            </w:pPr>
          </w:p>
          <w:p w14:paraId="052A9262" w14:textId="6C450875" w:rsidR="00853D17" w:rsidRPr="00845662" w:rsidRDefault="00853D17" w:rsidP="00853D17">
            <w:pPr>
              <w:rPr>
                <w:rFonts w:ascii="Aptos" w:eastAsia="Times New Roman" w:hAnsi="Aptos" w:cs="Aptos"/>
              </w:rPr>
            </w:pPr>
            <w:r>
              <w:rPr>
                <w:rFonts w:ascii="Aptos" w:eastAsia="Times New Roman" w:hAnsi="Aptos" w:cs="Segoe UI"/>
                <w:sz w:val="20"/>
                <w:szCs w:val="20"/>
              </w:rPr>
              <w:t>M</w:t>
            </w:r>
            <w:r w:rsidRPr="009619C7">
              <w:rPr>
                <w:rFonts w:ascii="Aptos" w:eastAsia="Times New Roman" w:hAnsi="Aptos" w:cs="Segoe UI"/>
                <w:sz w:val="20"/>
                <w:szCs w:val="20"/>
              </w:rPr>
              <w:t>aking structures under 100 square feet exempt from requiring a building permit in the residential zoning districts.</w:t>
            </w:r>
          </w:p>
          <w:p w14:paraId="0A8518BA" w14:textId="5BFD6C1E" w:rsidR="005D077F" w:rsidRPr="00845662" w:rsidRDefault="005D077F" w:rsidP="00B635DD">
            <w:pPr>
              <w:rPr>
                <w:rFonts w:ascii="Aptos" w:hAnsi="Aptos"/>
                <w:sz w:val="20"/>
                <w:szCs w:val="20"/>
              </w:rPr>
            </w:pPr>
          </w:p>
        </w:tc>
        <w:tc>
          <w:tcPr>
            <w:tcW w:w="6306" w:type="dxa"/>
          </w:tcPr>
          <w:p w14:paraId="21B76466" w14:textId="71D9CFA6" w:rsidR="005D077F" w:rsidRPr="00845662" w:rsidRDefault="005D077F" w:rsidP="00845662">
            <w:pPr>
              <w:rPr>
                <w:rFonts w:ascii="Aptos" w:eastAsia="Times New Roman" w:hAnsi="Aptos" w:cs="Segoe UI"/>
                <w:sz w:val="20"/>
                <w:szCs w:val="20"/>
              </w:rPr>
            </w:pPr>
            <w:r>
              <w:rPr>
                <w:rFonts w:ascii="Aptos" w:eastAsia="Times New Roman" w:hAnsi="Aptos" w:cs="Segoe UI"/>
                <w:sz w:val="20"/>
                <w:szCs w:val="20"/>
              </w:rPr>
              <w:t>M</w:t>
            </w:r>
            <w:r w:rsidRPr="00845662">
              <w:rPr>
                <w:rFonts w:ascii="Aptos" w:eastAsia="Times New Roman" w:hAnsi="Aptos" w:cs="Segoe UI"/>
                <w:sz w:val="20"/>
                <w:szCs w:val="20"/>
              </w:rPr>
              <w:t>ore concrete design and material requirements to align with the rest of the design requirements in the Zoning Code</w:t>
            </w:r>
            <w:r w:rsidR="00853D17">
              <w:rPr>
                <w:rFonts w:ascii="Aptos" w:eastAsia="Times New Roman" w:hAnsi="Aptos" w:cs="Segoe UI"/>
                <w:sz w:val="20"/>
                <w:szCs w:val="20"/>
              </w:rPr>
              <w:t>.</w:t>
            </w:r>
            <w:r w:rsidRPr="00845662">
              <w:rPr>
                <w:rFonts w:ascii="Aptos" w:eastAsia="Times New Roman" w:hAnsi="Aptos" w:cs="Segoe UI"/>
                <w:sz w:val="20"/>
                <w:szCs w:val="20"/>
              </w:rPr>
              <w:t xml:space="preserve"> </w:t>
            </w:r>
            <w:r w:rsidR="00853D17" w:rsidRPr="00845662">
              <w:rPr>
                <w:rFonts w:ascii="Aptos" w:eastAsia="Times New Roman" w:hAnsi="Aptos" w:cs="Segoe UI"/>
                <w:sz w:val="20"/>
                <w:szCs w:val="20"/>
              </w:rPr>
              <w:t>The</w:t>
            </w:r>
            <w:r w:rsidRPr="00845662">
              <w:rPr>
                <w:rFonts w:ascii="Aptos" w:eastAsia="Times New Roman" w:hAnsi="Aptos" w:cs="Segoe UI"/>
                <w:sz w:val="20"/>
                <w:szCs w:val="20"/>
              </w:rPr>
              <w:t xml:space="preserve"> most substantive change is in the way maximum size of accessory structures is measured. By tying the size of accessory structures to the footprint of a primary structure, we are ensuring that accessory structures are truly accessory in all respects to the principal structure on a lot, avoiding large accessory buildings which overpower the primary structure. </w:t>
            </w:r>
          </w:p>
          <w:p w14:paraId="2F124C05" w14:textId="77777777" w:rsidR="005D077F" w:rsidRPr="00845662" w:rsidRDefault="005D077F" w:rsidP="00853D17">
            <w:pPr>
              <w:rPr>
                <w:rFonts w:ascii="Aptos" w:hAnsi="Aptos"/>
                <w:sz w:val="20"/>
                <w:szCs w:val="20"/>
              </w:rPr>
            </w:pPr>
          </w:p>
        </w:tc>
      </w:tr>
      <w:tr w:rsidR="00DA4A14" w14:paraId="784E78AD" w14:textId="77777777" w:rsidTr="00777DCB">
        <w:tc>
          <w:tcPr>
            <w:tcW w:w="976" w:type="dxa"/>
            <w:shd w:val="clear" w:color="auto" w:fill="D9D9D9" w:themeFill="background1" w:themeFillShade="D9"/>
          </w:tcPr>
          <w:p w14:paraId="2020B5E0" w14:textId="4B43DD82" w:rsidR="005D077F" w:rsidRPr="00D24B69" w:rsidRDefault="005D077F" w:rsidP="00A06058">
            <w:pPr>
              <w:jc w:val="center"/>
              <w:rPr>
                <w:rFonts w:ascii="Aptos" w:hAnsi="Aptos"/>
                <w:sz w:val="20"/>
                <w:szCs w:val="20"/>
              </w:rPr>
            </w:pPr>
            <w:r w:rsidRPr="00D7711C">
              <w:rPr>
                <w:rFonts w:ascii="Aptos" w:hAnsi="Aptos"/>
                <w:b/>
                <w:bCs/>
                <w:sz w:val="20"/>
                <w:szCs w:val="20"/>
              </w:rPr>
              <w:t>1131</w:t>
            </w:r>
          </w:p>
        </w:tc>
        <w:tc>
          <w:tcPr>
            <w:tcW w:w="2079" w:type="dxa"/>
            <w:shd w:val="clear" w:color="auto" w:fill="D9D9D9" w:themeFill="background1" w:themeFillShade="D9"/>
          </w:tcPr>
          <w:p w14:paraId="44420606" w14:textId="77777777" w:rsidR="005D077F" w:rsidRDefault="00254D1D" w:rsidP="00A06058">
            <w:pPr>
              <w:rPr>
                <w:rFonts w:ascii="Aptos" w:hAnsi="Aptos"/>
                <w:b/>
                <w:bCs/>
                <w:sz w:val="20"/>
                <w:szCs w:val="20"/>
              </w:rPr>
            </w:pPr>
            <w:r w:rsidRPr="00254D1D">
              <w:rPr>
                <w:rFonts w:ascii="Aptos" w:hAnsi="Aptos"/>
                <w:b/>
                <w:bCs/>
                <w:sz w:val="20"/>
                <w:szCs w:val="20"/>
              </w:rPr>
              <w:t>Accessory Dwelling Units</w:t>
            </w:r>
          </w:p>
          <w:p w14:paraId="4AB13D67" w14:textId="77777777" w:rsidR="00853D17" w:rsidRDefault="00853D17" w:rsidP="00A06058">
            <w:pPr>
              <w:rPr>
                <w:rFonts w:ascii="Aptos" w:hAnsi="Aptos"/>
                <w:b/>
                <w:bCs/>
                <w:sz w:val="20"/>
                <w:szCs w:val="20"/>
              </w:rPr>
            </w:pPr>
          </w:p>
          <w:p w14:paraId="603715A8" w14:textId="65890EBF" w:rsidR="00853D17" w:rsidRPr="00254D1D" w:rsidRDefault="00853D17" w:rsidP="00A06058">
            <w:pPr>
              <w:rPr>
                <w:rFonts w:ascii="Aptos" w:hAnsi="Aptos"/>
                <w:b/>
                <w:bCs/>
                <w:sz w:val="20"/>
                <w:szCs w:val="20"/>
              </w:rPr>
            </w:pPr>
            <w:r>
              <w:rPr>
                <w:rFonts w:ascii="Aptos" w:hAnsi="Aptos"/>
                <w:b/>
                <w:bCs/>
                <w:sz w:val="20"/>
                <w:szCs w:val="20"/>
              </w:rPr>
              <w:t>(NEW CHAPTER)</w:t>
            </w:r>
          </w:p>
        </w:tc>
        <w:tc>
          <w:tcPr>
            <w:tcW w:w="5034" w:type="dxa"/>
          </w:tcPr>
          <w:p w14:paraId="124C6DC3" w14:textId="77777777" w:rsidR="00853D17" w:rsidRPr="00853D17" w:rsidRDefault="00853D17" w:rsidP="00853D17">
            <w:pPr>
              <w:rPr>
                <w:rFonts w:ascii="Aptos" w:hAnsi="Aptos"/>
                <w:sz w:val="20"/>
                <w:szCs w:val="20"/>
              </w:rPr>
            </w:pPr>
            <w:r w:rsidRPr="00853D17">
              <w:rPr>
                <w:rFonts w:ascii="Aptos" w:hAnsi="Aptos"/>
                <w:sz w:val="20"/>
                <w:szCs w:val="20"/>
              </w:rPr>
              <w:t>This is a new addition to the Zoning Code, and a housing option that has not been permitted by right in the City of Delaware in the current zoning code. ADUs, commonly referred to as “granny-flats”, are defined as smaller internal, attached, or detached independent residential dwellings located on the same lot as an owner-occupied single-family or two-family dwelling. ADUs include their own entrance and space for living, eating, sleeping, and cooking.</w:t>
            </w:r>
          </w:p>
          <w:p w14:paraId="191B9A60" w14:textId="77777777" w:rsidR="00853D17" w:rsidRPr="00853D17" w:rsidRDefault="00853D17" w:rsidP="00853D17">
            <w:pPr>
              <w:rPr>
                <w:rFonts w:ascii="Aptos" w:hAnsi="Aptos"/>
                <w:sz w:val="20"/>
                <w:szCs w:val="20"/>
              </w:rPr>
            </w:pPr>
          </w:p>
          <w:p w14:paraId="52FE01C2" w14:textId="77777777" w:rsidR="00853D17" w:rsidRPr="00853D17" w:rsidRDefault="00853D17" w:rsidP="00853D17">
            <w:pPr>
              <w:rPr>
                <w:rFonts w:ascii="Aptos" w:hAnsi="Aptos"/>
                <w:sz w:val="20"/>
                <w:szCs w:val="20"/>
              </w:rPr>
            </w:pPr>
            <w:r w:rsidRPr="00853D17">
              <w:rPr>
                <w:rFonts w:ascii="Aptos" w:hAnsi="Aptos"/>
                <w:sz w:val="20"/>
                <w:szCs w:val="20"/>
              </w:rPr>
              <w:t>To ensure that ADUs are established in an orderly manner, the bulk and location regulations of ADUs, including height, building footprint, and setbacks from property lines, will mirror those of Accessory Buildings, such as an attached garage or detached garage for example. ADUs will only be permitted on lots that are owner-occupied. The exterior design of ADUs shall be of similar style, color, and materials, of the primary residence on the lot.</w:t>
            </w:r>
          </w:p>
          <w:p w14:paraId="21EE259F" w14:textId="33585EBC" w:rsidR="00853D17" w:rsidRPr="00D24B69" w:rsidRDefault="00853D17" w:rsidP="00A06058">
            <w:pPr>
              <w:rPr>
                <w:rFonts w:ascii="Aptos" w:hAnsi="Aptos"/>
                <w:sz w:val="20"/>
                <w:szCs w:val="20"/>
              </w:rPr>
            </w:pPr>
          </w:p>
        </w:tc>
        <w:tc>
          <w:tcPr>
            <w:tcW w:w="6306" w:type="dxa"/>
          </w:tcPr>
          <w:p w14:paraId="6C578D2D" w14:textId="77777777" w:rsidR="00853D17" w:rsidRDefault="00853D17" w:rsidP="00853D17">
            <w:pPr>
              <w:rPr>
                <w:rFonts w:ascii="Aptos" w:hAnsi="Aptos"/>
                <w:sz w:val="20"/>
                <w:szCs w:val="20"/>
              </w:rPr>
            </w:pPr>
            <w:r w:rsidRPr="00615341">
              <w:rPr>
                <w:rFonts w:ascii="Aptos" w:hAnsi="Aptos"/>
                <w:sz w:val="20"/>
                <w:szCs w:val="20"/>
              </w:rPr>
              <w:t>To fulfill the City of Delaware’s “Delaware Together” Comprehensive Plan’s goals to ensure a broad spectrum of housing options are available in the city to meet the current and future needs of the growing population of Delaware, Accessory Dwelling Units (ADUs) will be permitted in all single-family and two-family zoning districts.</w:t>
            </w:r>
          </w:p>
          <w:p w14:paraId="48261708" w14:textId="77777777" w:rsidR="005D077F" w:rsidRPr="00D24B69" w:rsidRDefault="005D077F" w:rsidP="00A06058">
            <w:pPr>
              <w:rPr>
                <w:rFonts w:ascii="Aptos" w:hAnsi="Aptos"/>
                <w:sz w:val="20"/>
                <w:szCs w:val="20"/>
              </w:rPr>
            </w:pPr>
          </w:p>
        </w:tc>
      </w:tr>
      <w:tr w:rsidR="00DA4A14" w14:paraId="7D75DBE4" w14:textId="77777777" w:rsidTr="00777DCB">
        <w:trPr>
          <w:trHeight w:val="1844"/>
        </w:trPr>
        <w:tc>
          <w:tcPr>
            <w:tcW w:w="976" w:type="dxa"/>
            <w:shd w:val="clear" w:color="auto" w:fill="D9D9D9" w:themeFill="background1" w:themeFillShade="D9"/>
          </w:tcPr>
          <w:p w14:paraId="75787ED4" w14:textId="77777777" w:rsidR="005D077F" w:rsidRPr="00D24B69" w:rsidRDefault="005D077F" w:rsidP="00A06058">
            <w:pPr>
              <w:jc w:val="center"/>
              <w:rPr>
                <w:rFonts w:ascii="Aptos" w:hAnsi="Aptos"/>
                <w:sz w:val="20"/>
                <w:szCs w:val="20"/>
              </w:rPr>
            </w:pPr>
            <w:r w:rsidRPr="00D7711C">
              <w:rPr>
                <w:rFonts w:ascii="Aptos" w:hAnsi="Aptos"/>
                <w:b/>
                <w:bCs/>
                <w:sz w:val="20"/>
                <w:szCs w:val="20"/>
              </w:rPr>
              <w:lastRenderedPageBreak/>
              <w:t>1132</w:t>
            </w:r>
          </w:p>
        </w:tc>
        <w:tc>
          <w:tcPr>
            <w:tcW w:w="2079" w:type="dxa"/>
            <w:shd w:val="clear" w:color="auto" w:fill="D9D9D9" w:themeFill="background1" w:themeFillShade="D9"/>
          </w:tcPr>
          <w:p w14:paraId="7F54F427" w14:textId="48D9F9F0" w:rsidR="005D077F" w:rsidRPr="00254D1D" w:rsidRDefault="00254D1D" w:rsidP="008F3C0A">
            <w:pPr>
              <w:rPr>
                <w:rFonts w:ascii="Aptos" w:eastAsia="Times New Roman" w:hAnsi="Aptos" w:cs="Segoe UI"/>
                <w:b/>
                <w:bCs/>
                <w:sz w:val="20"/>
                <w:szCs w:val="20"/>
              </w:rPr>
            </w:pPr>
            <w:r w:rsidRPr="00254D1D">
              <w:rPr>
                <w:rFonts w:ascii="Aptos" w:eastAsia="Times New Roman" w:hAnsi="Aptos" w:cs="Segoe UI"/>
                <w:b/>
                <w:bCs/>
                <w:sz w:val="20"/>
                <w:szCs w:val="20"/>
              </w:rPr>
              <w:t>Home Occupations</w:t>
            </w:r>
          </w:p>
        </w:tc>
        <w:tc>
          <w:tcPr>
            <w:tcW w:w="5034" w:type="dxa"/>
          </w:tcPr>
          <w:p w14:paraId="4F958543" w14:textId="3C46B32F" w:rsidR="005D077F" w:rsidRPr="008F3C0A" w:rsidRDefault="005D077F" w:rsidP="008F3C0A">
            <w:pPr>
              <w:rPr>
                <w:rFonts w:ascii="Aptos" w:eastAsia="Times New Roman" w:hAnsi="Aptos" w:cs="Segoe UI"/>
                <w:sz w:val="20"/>
                <w:szCs w:val="20"/>
              </w:rPr>
            </w:pPr>
            <w:r w:rsidRPr="008F3C0A">
              <w:rPr>
                <w:rFonts w:ascii="Aptos" w:eastAsia="Times New Roman" w:hAnsi="Aptos" w:cs="Segoe UI"/>
                <w:sz w:val="20"/>
                <w:szCs w:val="20"/>
              </w:rPr>
              <w:t>As discussed with the previous round of code updates, this code would not allow “major home occupations”. In addition, this chapter has been updated to reflect current trends and to clarify requirements and regulations.</w:t>
            </w:r>
          </w:p>
          <w:p w14:paraId="36262957" w14:textId="77777777" w:rsidR="005D077F" w:rsidRPr="008F3C0A" w:rsidRDefault="005D077F" w:rsidP="008F3C0A">
            <w:pPr>
              <w:rPr>
                <w:rFonts w:ascii="Aptos" w:eastAsia="Times New Roman" w:hAnsi="Aptos" w:cs="Aptos"/>
              </w:rPr>
            </w:pPr>
          </w:p>
          <w:p w14:paraId="2AA68021" w14:textId="77777777" w:rsidR="005D077F" w:rsidRPr="007E7F00" w:rsidRDefault="005D077F" w:rsidP="00A06058">
            <w:pPr>
              <w:rPr>
                <w:rFonts w:ascii="Aptos" w:hAnsi="Aptos"/>
                <w:sz w:val="20"/>
                <w:szCs w:val="20"/>
              </w:rPr>
            </w:pPr>
          </w:p>
        </w:tc>
        <w:tc>
          <w:tcPr>
            <w:tcW w:w="6306" w:type="dxa"/>
          </w:tcPr>
          <w:p w14:paraId="38529656" w14:textId="65E58F15" w:rsidR="005D077F" w:rsidRPr="00AE6558" w:rsidRDefault="005D077F" w:rsidP="00A06058">
            <w:pPr>
              <w:rPr>
                <w:rFonts w:ascii="Aptos" w:eastAsia="Times New Roman" w:hAnsi="Aptos" w:cs="Segoe UI"/>
                <w:sz w:val="20"/>
                <w:szCs w:val="20"/>
              </w:rPr>
            </w:pPr>
            <w:r w:rsidRPr="008F3C0A">
              <w:rPr>
                <w:rFonts w:ascii="Aptos" w:eastAsia="Times New Roman" w:hAnsi="Aptos" w:cs="Segoe UI"/>
                <w:sz w:val="20"/>
                <w:szCs w:val="20"/>
              </w:rPr>
              <w:t xml:space="preserve"> “Major Home Occupations” as previously included in this code essentially allow for a specific parcel to be spot-zoned, something that is generally understood not to align with municipal zoning best practices. Home Occupations should be permitted so long as they do not affect the residential character of the home or surrounding neighborhood. These concepts are outlined more clearly in this draft.</w:t>
            </w:r>
          </w:p>
          <w:p w14:paraId="508E483B" w14:textId="77777777" w:rsidR="005D077F" w:rsidRPr="007E7F00" w:rsidRDefault="005D077F" w:rsidP="00A06058">
            <w:pPr>
              <w:rPr>
                <w:rFonts w:ascii="Aptos" w:hAnsi="Aptos"/>
                <w:sz w:val="20"/>
                <w:szCs w:val="20"/>
              </w:rPr>
            </w:pPr>
          </w:p>
        </w:tc>
      </w:tr>
      <w:tr w:rsidR="00DA4A14" w14:paraId="29F9B6A7" w14:textId="77777777" w:rsidTr="00777DCB">
        <w:tc>
          <w:tcPr>
            <w:tcW w:w="976" w:type="dxa"/>
            <w:shd w:val="clear" w:color="auto" w:fill="D9D9D9" w:themeFill="background1" w:themeFillShade="D9"/>
          </w:tcPr>
          <w:p w14:paraId="2D81BF94" w14:textId="77777777" w:rsidR="005D077F" w:rsidRPr="00D24B69" w:rsidRDefault="005D077F" w:rsidP="00A06058">
            <w:pPr>
              <w:jc w:val="center"/>
              <w:rPr>
                <w:rFonts w:ascii="Aptos" w:hAnsi="Aptos"/>
                <w:sz w:val="20"/>
                <w:szCs w:val="20"/>
              </w:rPr>
            </w:pPr>
            <w:r w:rsidRPr="00D7711C">
              <w:rPr>
                <w:rFonts w:ascii="Aptos" w:hAnsi="Aptos"/>
                <w:b/>
                <w:bCs/>
                <w:sz w:val="20"/>
                <w:szCs w:val="20"/>
              </w:rPr>
              <w:t>1133</w:t>
            </w:r>
          </w:p>
        </w:tc>
        <w:tc>
          <w:tcPr>
            <w:tcW w:w="2079" w:type="dxa"/>
            <w:shd w:val="clear" w:color="auto" w:fill="D9D9D9" w:themeFill="background1" w:themeFillShade="D9"/>
          </w:tcPr>
          <w:p w14:paraId="0069980F" w14:textId="77777777" w:rsidR="005D077F" w:rsidRDefault="00254D1D" w:rsidP="009F5CF6">
            <w:pPr>
              <w:rPr>
                <w:rFonts w:ascii="Aptos" w:eastAsia="Times New Roman" w:hAnsi="Aptos" w:cs="Segoe UI"/>
                <w:b/>
                <w:bCs/>
                <w:sz w:val="20"/>
                <w:szCs w:val="20"/>
              </w:rPr>
            </w:pPr>
            <w:r w:rsidRPr="00254D1D">
              <w:rPr>
                <w:rFonts w:ascii="Aptos" w:eastAsia="Times New Roman" w:hAnsi="Aptos" w:cs="Segoe UI"/>
                <w:b/>
                <w:bCs/>
                <w:sz w:val="20"/>
                <w:szCs w:val="20"/>
              </w:rPr>
              <w:t>Short Term Rental Regulations</w:t>
            </w:r>
          </w:p>
          <w:p w14:paraId="79850992" w14:textId="23ACF365" w:rsidR="00853D17" w:rsidRPr="00254D1D" w:rsidRDefault="00853D17" w:rsidP="009F5CF6">
            <w:pPr>
              <w:rPr>
                <w:rFonts w:ascii="Aptos" w:eastAsia="Times New Roman" w:hAnsi="Aptos" w:cs="Segoe UI"/>
                <w:b/>
                <w:bCs/>
                <w:sz w:val="20"/>
                <w:szCs w:val="20"/>
              </w:rPr>
            </w:pPr>
            <w:r>
              <w:rPr>
                <w:rFonts w:ascii="Aptos" w:eastAsia="Times New Roman" w:hAnsi="Aptos" w:cs="Segoe UI"/>
                <w:b/>
                <w:bCs/>
                <w:sz w:val="20"/>
                <w:szCs w:val="20"/>
              </w:rPr>
              <w:t>(NEW CHAPTER)</w:t>
            </w:r>
          </w:p>
        </w:tc>
        <w:tc>
          <w:tcPr>
            <w:tcW w:w="5034" w:type="dxa"/>
          </w:tcPr>
          <w:p w14:paraId="0290636C" w14:textId="79277373" w:rsidR="005D077F" w:rsidRPr="009F5CF6" w:rsidRDefault="005D077F" w:rsidP="009F5CF6">
            <w:pPr>
              <w:rPr>
                <w:rFonts w:ascii="Aptos" w:eastAsia="Times New Roman" w:hAnsi="Aptos" w:cs="Segoe UI"/>
                <w:sz w:val="20"/>
                <w:szCs w:val="20"/>
              </w:rPr>
            </w:pPr>
            <w:r w:rsidRPr="009F5CF6">
              <w:rPr>
                <w:rFonts w:ascii="Aptos" w:eastAsia="Times New Roman" w:hAnsi="Aptos" w:cs="Segoe UI"/>
                <w:sz w:val="20"/>
                <w:szCs w:val="20"/>
              </w:rPr>
              <w:t xml:space="preserve">The City of Delaware does not currently address short-term rentals (including AirBNBs, VRBO, etc.) in the zoning code. </w:t>
            </w:r>
          </w:p>
          <w:p w14:paraId="7E6F5B0D" w14:textId="288E725B" w:rsidR="005D077F" w:rsidRDefault="005D077F" w:rsidP="00EF1AE4">
            <w:pPr>
              <w:rPr>
                <w:rFonts w:ascii="Aptos" w:eastAsia="Times New Roman" w:hAnsi="Aptos" w:cs="Segoe UI"/>
                <w:sz w:val="20"/>
                <w:szCs w:val="20"/>
              </w:rPr>
            </w:pPr>
            <w:r w:rsidRPr="009F5CF6">
              <w:rPr>
                <w:rFonts w:ascii="Aptos" w:eastAsia="Times New Roman" w:hAnsi="Aptos" w:cs="Segoe UI"/>
                <w:sz w:val="20"/>
                <w:szCs w:val="20"/>
              </w:rPr>
              <w:t xml:space="preserve">When the city’s zoning code was last updated, short-term rentals were not an issue to consider. Now, they are extremely common, and we have no way to regulate them. </w:t>
            </w:r>
          </w:p>
          <w:p w14:paraId="7842CFD1" w14:textId="77777777" w:rsidR="005D077F" w:rsidRPr="009F5CF6" w:rsidRDefault="005D077F" w:rsidP="009F5CF6">
            <w:pPr>
              <w:rPr>
                <w:rFonts w:ascii="Aptos" w:eastAsia="Times New Roman" w:hAnsi="Aptos" w:cs="Aptos"/>
              </w:rPr>
            </w:pPr>
          </w:p>
          <w:p w14:paraId="659F4D15" w14:textId="77777777" w:rsidR="005D077F" w:rsidRPr="009F5CF6" w:rsidRDefault="005D077F" w:rsidP="00A06058">
            <w:pPr>
              <w:rPr>
                <w:rFonts w:ascii="Aptos" w:hAnsi="Aptos"/>
                <w:sz w:val="20"/>
                <w:szCs w:val="20"/>
              </w:rPr>
            </w:pPr>
          </w:p>
        </w:tc>
        <w:tc>
          <w:tcPr>
            <w:tcW w:w="6306" w:type="dxa"/>
          </w:tcPr>
          <w:p w14:paraId="79C19BE5" w14:textId="4654A8B9" w:rsidR="005D077F" w:rsidRDefault="005D077F" w:rsidP="009F5CF6">
            <w:pPr>
              <w:rPr>
                <w:rFonts w:ascii="Aptos" w:eastAsia="Times New Roman" w:hAnsi="Aptos" w:cs="Segoe UI"/>
                <w:sz w:val="20"/>
                <w:szCs w:val="20"/>
              </w:rPr>
            </w:pPr>
            <w:r>
              <w:rPr>
                <w:rFonts w:ascii="Aptos" w:eastAsia="Times New Roman" w:hAnsi="Aptos" w:cs="Segoe UI"/>
                <w:sz w:val="20"/>
                <w:szCs w:val="20"/>
              </w:rPr>
              <w:t>T</w:t>
            </w:r>
            <w:r w:rsidRPr="009F5CF6">
              <w:rPr>
                <w:rFonts w:ascii="Aptos" w:eastAsia="Times New Roman" w:hAnsi="Aptos" w:cs="Segoe UI"/>
                <w:sz w:val="20"/>
                <w:szCs w:val="20"/>
              </w:rPr>
              <w:t>his chapter establishes regulations which define hosted versus non-hosted short-term rentals, limit the number of STRs individuals may operate, and require registration and yearly inspections by city staff prior to operation. The proposed code also outlines the ways in which a registration could be rescinded.</w:t>
            </w:r>
          </w:p>
          <w:p w14:paraId="2B79DA68" w14:textId="77777777" w:rsidR="005D077F" w:rsidRDefault="005D077F" w:rsidP="009F5CF6">
            <w:pPr>
              <w:rPr>
                <w:rFonts w:ascii="Aptos" w:eastAsia="Times New Roman" w:hAnsi="Aptos" w:cs="Segoe UI"/>
                <w:sz w:val="20"/>
                <w:szCs w:val="20"/>
              </w:rPr>
            </w:pPr>
          </w:p>
          <w:p w14:paraId="3AF9AC1F" w14:textId="77777777" w:rsidR="005D077F" w:rsidRDefault="005D077F" w:rsidP="00A06058">
            <w:pPr>
              <w:rPr>
                <w:rFonts w:ascii="Aptos" w:eastAsia="Times New Roman" w:hAnsi="Aptos" w:cs="Segoe UI"/>
                <w:sz w:val="20"/>
                <w:szCs w:val="20"/>
              </w:rPr>
            </w:pPr>
            <w:r w:rsidRPr="009F5CF6">
              <w:rPr>
                <w:rFonts w:ascii="Aptos" w:eastAsia="Times New Roman" w:hAnsi="Aptos" w:cs="Segoe UI"/>
                <w:sz w:val="20"/>
                <w:szCs w:val="20"/>
              </w:rPr>
              <w:t>Adding this chapter gives Staff means to regulate and track short-term rentals and to limit them so that they do not create a further strain on the limited housing stock in the region.</w:t>
            </w:r>
          </w:p>
          <w:p w14:paraId="2B5D00F0" w14:textId="38D99F05" w:rsidR="00476119" w:rsidRPr="00476119" w:rsidRDefault="00476119" w:rsidP="00A06058">
            <w:pPr>
              <w:rPr>
                <w:rFonts w:ascii="Aptos" w:eastAsia="Times New Roman" w:hAnsi="Aptos" w:cs="Segoe UI"/>
                <w:sz w:val="20"/>
                <w:szCs w:val="20"/>
              </w:rPr>
            </w:pPr>
          </w:p>
        </w:tc>
      </w:tr>
      <w:tr w:rsidR="00DA4A14" w14:paraId="53B2CBD3" w14:textId="77777777" w:rsidTr="00777DCB">
        <w:tc>
          <w:tcPr>
            <w:tcW w:w="976" w:type="dxa"/>
            <w:shd w:val="clear" w:color="auto" w:fill="D9D9D9" w:themeFill="background1" w:themeFillShade="D9"/>
          </w:tcPr>
          <w:p w14:paraId="528EBBB8" w14:textId="2F9BF6DE" w:rsidR="00254D1D" w:rsidRPr="00D7711C" w:rsidRDefault="00254D1D" w:rsidP="00A06058">
            <w:pPr>
              <w:jc w:val="center"/>
              <w:rPr>
                <w:rFonts w:ascii="Aptos" w:hAnsi="Aptos"/>
                <w:b/>
                <w:bCs/>
                <w:sz w:val="20"/>
                <w:szCs w:val="20"/>
              </w:rPr>
            </w:pPr>
            <w:r>
              <w:rPr>
                <w:rFonts w:ascii="Aptos" w:hAnsi="Aptos"/>
                <w:b/>
                <w:bCs/>
                <w:sz w:val="20"/>
                <w:szCs w:val="20"/>
              </w:rPr>
              <w:t>1134</w:t>
            </w:r>
          </w:p>
        </w:tc>
        <w:tc>
          <w:tcPr>
            <w:tcW w:w="2079" w:type="dxa"/>
            <w:shd w:val="clear" w:color="auto" w:fill="D9D9D9" w:themeFill="background1" w:themeFillShade="D9"/>
          </w:tcPr>
          <w:p w14:paraId="3AE22A39" w14:textId="77777777" w:rsidR="00254D1D" w:rsidRDefault="00254D1D" w:rsidP="009F5CF6">
            <w:pPr>
              <w:rPr>
                <w:rFonts w:ascii="Aptos" w:eastAsia="Times New Roman" w:hAnsi="Aptos" w:cs="Segoe UI"/>
                <w:b/>
                <w:bCs/>
                <w:sz w:val="20"/>
                <w:szCs w:val="20"/>
              </w:rPr>
            </w:pPr>
            <w:r w:rsidRPr="00254D1D">
              <w:rPr>
                <w:rFonts w:ascii="Aptos" w:eastAsia="Times New Roman" w:hAnsi="Aptos" w:cs="Segoe UI"/>
                <w:b/>
                <w:bCs/>
                <w:sz w:val="20"/>
                <w:szCs w:val="20"/>
              </w:rPr>
              <w:t>Alternative Energy</w:t>
            </w:r>
          </w:p>
          <w:p w14:paraId="48C466B2" w14:textId="71216222" w:rsidR="00DA4A14" w:rsidRPr="00254D1D" w:rsidRDefault="00DA4A14" w:rsidP="009F5CF6">
            <w:pPr>
              <w:rPr>
                <w:rFonts w:ascii="Aptos" w:eastAsia="Times New Roman" w:hAnsi="Aptos" w:cs="Segoe UI"/>
                <w:b/>
                <w:bCs/>
                <w:sz w:val="20"/>
                <w:szCs w:val="20"/>
              </w:rPr>
            </w:pPr>
            <w:r>
              <w:rPr>
                <w:rFonts w:ascii="Aptos" w:eastAsia="Times New Roman" w:hAnsi="Aptos" w:cs="Segoe UI"/>
                <w:b/>
                <w:bCs/>
                <w:sz w:val="20"/>
                <w:szCs w:val="20"/>
              </w:rPr>
              <w:t>(NEW CHAPTER)</w:t>
            </w:r>
          </w:p>
        </w:tc>
        <w:tc>
          <w:tcPr>
            <w:tcW w:w="5034" w:type="dxa"/>
          </w:tcPr>
          <w:p w14:paraId="31A4A73D" w14:textId="4ED77245" w:rsidR="00254D1D" w:rsidRPr="009F5CF6" w:rsidRDefault="00DA4A14" w:rsidP="009F5CF6">
            <w:pPr>
              <w:rPr>
                <w:rFonts w:ascii="Aptos" w:eastAsia="Times New Roman" w:hAnsi="Aptos" w:cs="Segoe UI"/>
                <w:sz w:val="20"/>
                <w:szCs w:val="20"/>
              </w:rPr>
            </w:pPr>
            <w:r>
              <w:rPr>
                <w:rFonts w:ascii="Aptos" w:eastAsia="Times New Roman" w:hAnsi="Aptos" w:cs="Segoe UI"/>
                <w:sz w:val="20"/>
                <w:szCs w:val="20"/>
              </w:rPr>
              <w:t>New regulations on ground and roof mounted solar and wind power</w:t>
            </w:r>
          </w:p>
        </w:tc>
        <w:tc>
          <w:tcPr>
            <w:tcW w:w="6306" w:type="dxa"/>
          </w:tcPr>
          <w:p w14:paraId="7BEB8CE9" w14:textId="77777777" w:rsidR="00254D1D" w:rsidRDefault="00DA4A14" w:rsidP="009F5CF6">
            <w:pPr>
              <w:rPr>
                <w:rFonts w:ascii="Aptos" w:eastAsia="Times New Roman" w:hAnsi="Aptos" w:cs="Segoe UI"/>
                <w:sz w:val="20"/>
                <w:szCs w:val="20"/>
              </w:rPr>
            </w:pPr>
            <w:r>
              <w:rPr>
                <w:rFonts w:ascii="Aptos" w:eastAsia="Times New Roman" w:hAnsi="Aptos" w:cs="Segoe UI"/>
                <w:sz w:val="20"/>
                <w:szCs w:val="20"/>
              </w:rPr>
              <w:t>Code does not currently address alternative energy in any form. This chapter will allow for some regulations in regard to placement and height.</w:t>
            </w:r>
          </w:p>
          <w:p w14:paraId="14B08A35" w14:textId="33EDF85C" w:rsidR="00476119" w:rsidRDefault="00476119" w:rsidP="009F5CF6">
            <w:pPr>
              <w:rPr>
                <w:rFonts w:ascii="Aptos" w:eastAsia="Times New Roman" w:hAnsi="Aptos" w:cs="Segoe UI"/>
                <w:sz w:val="20"/>
                <w:szCs w:val="20"/>
              </w:rPr>
            </w:pPr>
          </w:p>
        </w:tc>
      </w:tr>
      <w:tr w:rsidR="00DA4A14" w14:paraId="605A2034" w14:textId="77777777" w:rsidTr="00777DCB">
        <w:tc>
          <w:tcPr>
            <w:tcW w:w="976" w:type="dxa"/>
            <w:shd w:val="clear" w:color="auto" w:fill="D9D9D9" w:themeFill="background1" w:themeFillShade="D9"/>
          </w:tcPr>
          <w:p w14:paraId="6D1309C3" w14:textId="25C29945" w:rsidR="00254D1D" w:rsidRPr="00D7711C" w:rsidRDefault="00254D1D" w:rsidP="00A06058">
            <w:pPr>
              <w:jc w:val="center"/>
              <w:rPr>
                <w:rFonts w:ascii="Aptos" w:hAnsi="Aptos"/>
                <w:b/>
                <w:bCs/>
                <w:sz w:val="20"/>
                <w:szCs w:val="20"/>
              </w:rPr>
            </w:pPr>
            <w:r>
              <w:rPr>
                <w:rFonts w:ascii="Aptos" w:hAnsi="Aptos"/>
                <w:b/>
                <w:bCs/>
                <w:sz w:val="20"/>
                <w:szCs w:val="20"/>
              </w:rPr>
              <w:t>1135</w:t>
            </w:r>
          </w:p>
        </w:tc>
        <w:tc>
          <w:tcPr>
            <w:tcW w:w="2079" w:type="dxa"/>
            <w:shd w:val="clear" w:color="auto" w:fill="D9D9D9" w:themeFill="background1" w:themeFillShade="D9"/>
          </w:tcPr>
          <w:p w14:paraId="0E6A6B04" w14:textId="00FFCFF6" w:rsidR="00254D1D" w:rsidRPr="00254D1D" w:rsidRDefault="00254D1D" w:rsidP="009F5CF6">
            <w:pPr>
              <w:rPr>
                <w:rFonts w:ascii="Aptos" w:eastAsia="Times New Roman" w:hAnsi="Aptos" w:cs="Segoe UI"/>
                <w:b/>
                <w:bCs/>
                <w:sz w:val="20"/>
                <w:szCs w:val="20"/>
              </w:rPr>
            </w:pPr>
            <w:r w:rsidRPr="00254D1D">
              <w:rPr>
                <w:rFonts w:ascii="Aptos" w:eastAsia="Times New Roman" w:hAnsi="Aptos" w:cs="Segoe UI"/>
                <w:b/>
                <w:bCs/>
                <w:sz w:val="20"/>
                <w:szCs w:val="20"/>
              </w:rPr>
              <w:t>Wireless Telecommunications</w:t>
            </w:r>
          </w:p>
        </w:tc>
        <w:tc>
          <w:tcPr>
            <w:tcW w:w="5034" w:type="dxa"/>
          </w:tcPr>
          <w:p w14:paraId="23981E98" w14:textId="11355420" w:rsidR="00254D1D" w:rsidRPr="009F5CF6" w:rsidRDefault="00DA4A14" w:rsidP="009F5CF6">
            <w:pPr>
              <w:rPr>
                <w:rFonts w:ascii="Aptos" w:eastAsia="Times New Roman" w:hAnsi="Aptos" w:cs="Segoe UI"/>
                <w:sz w:val="20"/>
                <w:szCs w:val="20"/>
              </w:rPr>
            </w:pPr>
            <w:r>
              <w:rPr>
                <w:rFonts w:ascii="Aptos" w:eastAsia="Times New Roman" w:hAnsi="Aptos" w:cs="Segoe UI"/>
                <w:sz w:val="20"/>
                <w:szCs w:val="20"/>
              </w:rPr>
              <w:t>Adding “small cell” technology to the chapter</w:t>
            </w:r>
          </w:p>
        </w:tc>
        <w:tc>
          <w:tcPr>
            <w:tcW w:w="6306" w:type="dxa"/>
          </w:tcPr>
          <w:p w14:paraId="5EAF1180" w14:textId="77777777" w:rsidR="00254D1D" w:rsidRDefault="00DA4A14" w:rsidP="009F5CF6">
            <w:pPr>
              <w:rPr>
                <w:rFonts w:ascii="Aptos" w:eastAsia="Times New Roman" w:hAnsi="Aptos" w:cs="Segoe UI"/>
                <w:sz w:val="20"/>
                <w:szCs w:val="20"/>
              </w:rPr>
            </w:pPr>
            <w:r>
              <w:rPr>
                <w:rFonts w:ascii="Aptos" w:eastAsia="Times New Roman" w:hAnsi="Aptos" w:cs="Segoe UI"/>
                <w:sz w:val="20"/>
                <w:szCs w:val="20"/>
              </w:rPr>
              <w:t xml:space="preserve">“Small cell” towers are not currently addressed but are common. The addition to this chapter will allow the City to regulate location and design. </w:t>
            </w:r>
          </w:p>
          <w:p w14:paraId="1DDA7228" w14:textId="606701C1" w:rsidR="00476119" w:rsidRDefault="00476119" w:rsidP="009F5CF6">
            <w:pPr>
              <w:rPr>
                <w:rFonts w:ascii="Aptos" w:eastAsia="Times New Roman" w:hAnsi="Aptos" w:cs="Segoe UI"/>
                <w:sz w:val="20"/>
                <w:szCs w:val="20"/>
              </w:rPr>
            </w:pPr>
          </w:p>
        </w:tc>
      </w:tr>
      <w:tr w:rsidR="00DA4A14" w14:paraId="70949BD9" w14:textId="77777777" w:rsidTr="00777DCB">
        <w:tc>
          <w:tcPr>
            <w:tcW w:w="976" w:type="dxa"/>
            <w:shd w:val="clear" w:color="auto" w:fill="D9D9D9" w:themeFill="background1" w:themeFillShade="D9"/>
          </w:tcPr>
          <w:p w14:paraId="71D62FA5" w14:textId="4507A5DC" w:rsidR="00254D1D" w:rsidRDefault="00254D1D" w:rsidP="00254D1D">
            <w:pPr>
              <w:jc w:val="center"/>
              <w:rPr>
                <w:rFonts w:ascii="Aptos" w:hAnsi="Aptos"/>
                <w:b/>
                <w:bCs/>
                <w:sz w:val="20"/>
                <w:szCs w:val="20"/>
              </w:rPr>
            </w:pPr>
            <w:r>
              <w:rPr>
                <w:rFonts w:ascii="Aptos" w:hAnsi="Aptos"/>
                <w:b/>
                <w:bCs/>
                <w:sz w:val="20"/>
                <w:szCs w:val="20"/>
              </w:rPr>
              <w:t>1136</w:t>
            </w:r>
          </w:p>
        </w:tc>
        <w:tc>
          <w:tcPr>
            <w:tcW w:w="2079" w:type="dxa"/>
            <w:shd w:val="clear" w:color="auto" w:fill="D9D9D9" w:themeFill="background1" w:themeFillShade="D9"/>
          </w:tcPr>
          <w:p w14:paraId="40EEB099" w14:textId="46A9CFC2" w:rsidR="00254D1D" w:rsidRPr="00254D1D" w:rsidRDefault="00254D1D" w:rsidP="009F5CF6">
            <w:pPr>
              <w:rPr>
                <w:rFonts w:ascii="Aptos" w:eastAsia="Times New Roman" w:hAnsi="Aptos" w:cs="Segoe UI"/>
                <w:b/>
                <w:bCs/>
                <w:sz w:val="20"/>
                <w:szCs w:val="20"/>
              </w:rPr>
            </w:pPr>
            <w:r w:rsidRPr="00254D1D">
              <w:rPr>
                <w:rFonts w:ascii="Aptos" w:eastAsia="Times New Roman" w:hAnsi="Aptos" w:cs="Segoe UI"/>
                <w:b/>
                <w:bCs/>
                <w:sz w:val="20"/>
                <w:szCs w:val="20"/>
              </w:rPr>
              <w:t>Age Restricted Retail Businesses</w:t>
            </w:r>
          </w:p>
        </w:tc>
        <w:tc>
          <w:tcPr>
            <w:tcW w:w="5034" w:type="dxa"/>
          </w:tcPr>
          <w:p w14:paraId="5C5CB8CE" w14:textId="77777777" w:rsidR="00254D1D" w:rsidRDefault="00DA4A14" w:rsidP="009F5CF6">
            <w:pPr>
              <w:rPr>
                <w:rFonts w:ascii="Aptos" w:eastAsia="Times New Roman" w:hAnsi="Aptos" w:cs="Segoe UI"/>
                <w:sz w:val="20"/>
                <w:szCs w:val="20"/>
              </w:rPr>
            </w:pPr>
            <w:r>
              <w:rPr>
                <w:rFonts w:ascii="Aptos" w:eastAsia="Times New Roman" w:hAnsi="Aptos" w:cs="Segoe UI"/>
                <w:sz w:val="20"/>
                <w:szCs w:val="20"/>
              </w:rPr>
              <w:t xml:space="preserve">Recently approved at Council. No change with the exception of the chapter number. </w:t>
            </w:r>
          </w:p>
          <w:p w14:paraId="1FF9A78A" w14:textId="5FFA78D1" w:rsidR="00476119" w:rsidRPr="009F5CF6" w:rsidRDefault="00476119" w:rsidP="009F5CF6">
            <w:pPr>
              <w:rPr>
                <w:rFonts w:ascii="Aptos" w:eastAsia="Times New Roman" w:hAnsi="Aptos" w:cs="Segoe UI"/>
                <w:sz w:val="20"/>
                <w:szCs w:val="20"/>
              </w:rPr>
            </w:pPr>
          </w:p>
        </w:tc>
        <w:tc>
          <w:tcPr>
            <w:tcW w:w="6306" w:type="dxa"/>
          </w:tcPr>
          <w:p w14:paraId="479D1753" w14:textId="129E36D8" w:rsidR="00254D1D" w:rsidRDefault="00DA4A14" w:rsidP="009F5CF6">
            <w:pPr>
              <w:rPr>
                <w:rFonts w:ascii="Aptos" w:eastAsia="Times New Roman" w:hAnsi="Aptos" w:cs="Segoe UI"/>
                <w:sz w:val="20"/>
                <w:szCs w:val="20"/>
              </w:rPr>
            </w:pPr>
            <w:r>
              <w:rPr>
                <w:rFonts w:ascii="Aptos" w:eastAsia="Times New Roman" w:hAnsi="Aptos" w:cs="Segoe UI"/>
                <w:sz w:val="20"/>
                <w:szCs w:val="20"/>
              </w:rPr>
              <w:t>N/A</w:t>
            </w:r>
          </w:p>
        </w:tc>
      </w:tr>
      <w:tr w:rsidR="00DA4A14" w14:paraId="1384DCEC" w14:textId="77777777" w:rsidTr="00777DCB">
        <w:tc>
          <w:tcPr>
            <w:tcW w:w="976" w:type="dxa"/>
            <w:shd w:val="clear" w:color="auto" w:fill="D9D9D9" w:themeFill="background1" w:themeFillShade="D9"/>
          </w:tcPr>
          <w:p w14:paraId="3F1E7F5B" w14:textId="43D6A9C9" w:rsidR="00254D1D" w:rsidRDefault="00254D1D" w:rsidP="00254D1D">
            <w:pPr>
              <w:jc w:val="center"/>
              <w:rPr>
                <w:rFonts w:ascii="Aptos" w:hAnsi="Aptos"/>
                <w:b/>
                <w:bCs/>
                <w:sz w:val="20"/>
                <w:szCs w:val="20"/>
              </w:rPr>
            </w:pPr>
            <w:r>
              <w:rPr>
                <w:rFonts w:ascii="Aptos" w:hAnsi="Aptos"/>
                <w:b/>
                <w:bCs/>
                <w:sz w:val="20"/>
                <w:szCs w:val="20"/>
              </w:rPr>
              <w:t>1137</w:t>
            </w:r>
          </w:p>
        </w:tc>
        <w:tc>
          <w:tcPr>
            <w:tcW w:w="2079" w:type="dxa"/>
            <w:shd w:val="clear" w:color="auto" w:fill="D9D9D9" w:themeFill="background1" w:themeFillShade="D9"/>
          </w:tcPr>
          <w:p w14:paraId="1008A093" w14:textId="598F435F" w:rsidR="00254D1D" w:rsidRPr="00254D1D" w:rsidRDefault="00254D1D" w:rsidP="009F5CF6">
            <w:pPr>
              <w:rPr>
                <w:rFonts w:ascii="Aptos" w:eastAsia="Times New Roman" w:hAnsi="Aptos" w:cs="Segoe UI"/>
                <w:b/>
                <w:bCs/>
                <w:sz w:val="20"/>
                <w:szCs w:val="20"/>
              </w:rPr>
            </w:pPr>
            <w:r w:rsidRPr="00254D1D">
              <w:rPr>
                <w:rFonts w:ascii="Aptos" w:eastAsia="Times New Roman" w:hAnsi="Aptos" w:cs="Segoe UI"/>
                <w:b/>
                <w:bCs/>
                <w:sz w:val="20"/>
                <w:szCs w:val="20"/>
              </w:rPr>
              <w:t>Adult Entertainment</w:t>
            </w:r>
          </w:p>
        </w:tc>
        <w:tc>
          <w:tcPr>
            <w:tcW w:w="5034" w:type="dxa"/>
          </w:tcPr>
          <w:p w14:paraId="3604EB10" w14:textId="03C8F507" w:rsidR="00254D1D" w:rsidRPr="009F5CF6" w:rsidRDefault="00DA4A14" w:rsidP="009F5CF6">
            <w:pPr>
              <w:rPr>
                <w:rFonts w:ascii="Aptos" w:eastAsia="Times New Roman" w:hAnsi="Aptos" w:cs="Segoe UI"/>
                <w:sz w:val="20"/>
                <w:szCs w:val="20"/>
              </w:rPr>
            </w:pPr>
            <w:r>
              <w:rPr>
                <w:rFonts w:ascii="Aptos" w:eastAsia="Times New Roman" w:hAnsi="Aptos" w:cs="Segoe UI"/>
                <w:sz w:val="20"/>
                <w:szCs w:val="20"/>
              </w:rPr>
              <w:t>TBD</w:t>
            </w:r>
          </w:p>
        </w:tc>
        <w:tc>
          <w:tcPr>
            <w:tcW w:w="6306" w:type="dxa"/>
          </w:tcPr>
          <w:p w14:paraId="32BFCEF0" w14:textId="77777777" w:rsidR="00254D1D" w:rsidRDefault="00DA4A14" w:rsidP="009F5CF6">
            <w:pPr>
              <w:rPr>
                <w:rFonts w:ascii="Aptos" w:eastAsia="Times New Roman" w:hAnsi="Aptos" w:cs="Segoe UI"/>
                <w:sz w:val="20"/>
                <w:szCs w:val="20"/>
              </w:rPr>
            </w:pPr>
            <w:r>
              <w:rPr>
                <w:rFonts w:ascii="Aptos" w:eastAsia="Times New Roman" w:hAnsi="Aptos" w:cs="Segoe UI"/>
                <w:sz w:val="20"/>
                <w:szCs w:val="20"/>
              </w:rPr>
              <w:t>Under review by City Attorney. No major changes expected.</w:t>
            </w:r>
          </w:p>
          <w:p w14:paraId="75BA9F79" w14:textId="0DC3BBBC" w:rsidR="00476119" w:rsidRDefault="00476119" w:rsidP="009F5CF6">
            <w:pPr>
              <w:rPr>
                <w:rFonts w:ascii="Aptos" w:eastAsia="Times New Roman" w:hAnsi="Aptos" w:cs="Segoe UI"/>
                <w:sz w:val="20"/>
                <w:szCs w:val="20"/>
              </w:rPr>
            </w:pPr>
          </w:p>
        </w:tc>
      </w:tr>
      <w:tr w:rsidR="00DA4A14" w14:paraId="70BCDE32" w14:textId="77777777" w:rsidTr="00777DCB">
        <w:tc>
          <w:tcPr>
            <w:tcW w:w="976" w:type="dxa"/>
            <w:shd w:val="clear" w:color="auto" w:fill="D9D9D9" w:themeFill="background1" w:themeFillShade="D9"/>
          </w:tcPr>
          <w:p w14:paraId="26809B33" w14:textId="208AA158" w:rsidR="00254D1D" w:rsidRDefault="00254D1D" w:rsidP="00254D1D">
            <w:pPr>
              <w:jc w:val="center"/>
              <w:rPr>
                <w:rFonts w:ascii="Aptos" w:hAnsi="Aptos"/>
                <w:b/>
                <w:bCs/>
                <w:sz w:val="20"/>
                <w:szCs w:val="20"/>
              </w:rPr>
            </w:pPr>
            <w:r>
              <w:rPr>
                <w:rFonts w:ascii="Aptos" w:hAnsi="Aptos"/>
                <w:b/>
                <w:bCs/>
                <w:sz w:val="20"/>
                <w:szCs w:val="20"/>
              </w:rPr>
              <w:t>1138</w:t>
            </w:r>
          </w:p>
        </w:tc>
        <w:tc>
          <w:tcPr>
            <w:tcW w:w="2079" w:type="dxa"/>
            <w:shd w:val="clear" w:color="auto" w:fill="D9D9D9" w:themeFill="background1" w:themeFillShade="D9"/>
          </w:tcPr>
          <w:p w14:paraId="2ECEC174" w14:textId="4C9B58DE" w:rsidR="00254D1D" w:rsidRPr="00254D1D" w:rsidRDefault="00254D1D" w:rsidP="009F5CF6">
            <w:pPr>
              <w:rPr>
                <w:rFonts w:ascii="Aptos" w:eastAsia="Times New Roman" w:hAnsi="Aptos" w:cs="Segoe UI"/>
                <w:b/>
                <w:bCs/>
                <w:sz w:val="20"/>
                <w:szCs w:val="20"/>
              </w:rPr>
            </w:pPr>
            <w:r w:rsidRPr="00254D1D">
              <w:rPr>
                <w:rFonts w:ascii="Aptos" w:eastAsia="Times New Roman" w:hAnsi="Aptos" w:cs="Segoe UI"/>
                <w:b/>
                <w:bCs/>
                <w:sz w:val="20"/>
                <w:szCs w:val="20"/>
              </w:rPr>
              <w:t>Temporary Uses</w:t>
            </w:r>
          </w:p>
        </w:tc>
        <w:tc>
          <w:tcPr>
            <w:tcW w:w="5034" w:type="dxa"/>
          </w:tcPr>
          <w:p w14:paraId="4CE05562" w14:textId="54282D37" w:rsidR="00254D1D" w:rsidRPr="009F5CF6" w:rsidRDefault="00DA4A14" w:rsidP="009F5CF6">
            <w:pPr>
              <w:rPr>
                <w:rFonts w:ascii="Aptos" w:eastAsia="Times New Roman" w:hAnsi="Aptos" w:cs="Segoe UI"/>
                <w:sz w:val="20"/>
                <w:szCs w:val="20"/>
              </w:rPr>
            </w:pPr>
            <w:r>
              <w:rPr>
                <w:rFonts w:ascii="Aptos" w:eastAsia="Times New Roman" w:hAnsi="Aptos" w:cs="Segoe UI"/>
                <w:sz w:val="20"/>
                <w:szCs w:val="20"/>
              </w:rPr>
              <w:t>Refined regulations for model homes, outdoor sales and events. Relocated regulations that are not relevant to temporary uses.</w:t>
            </w:r>
            <w:r w:rsidR="007C0D1D">
              <w:rPr>
                <w:rFonts w:ascii="Aptos" w:eastAsia="Times New Roman" w:hAnsi="Aptos" w:cs="Segoe UI"/>
                <w:sz w:val="20"/>
                <w:szCs w:val="20"/>
              </w:rPr>
              <w:t xml:space="preserve"> Added regulations for donation drop off containers.</w:t>
            </w:r>
            <w:r>
              <w:rPr>
                <w:rFonts w:ascii="Aptos" w:eastAsia="Times New Roman" w:hAnsi="Aptos" w:cs="Segoe UI"/>
                <w:sz w:val="20"/>
                <w:szCs w:val="20"/>
              </w:rPr>
              <w:t xml:space="preserve"> </w:t>
            </w:r>
          </w:p>
        </w:tc>
        <w:tc>
          <w:tcPr>
            <w:tcW w:w="6306" w:type="dxa"/>
          </w:tcPr>
          <w:p w14:paraId="38012928" w14:textId="77777777" w:rsidR="00254D1D" w:rsidRDefault="00DA4A14" w:rsidP="009F5CF6">
            <w:pPr>
              <w:rPr>
                <w:rFonts w:ascii="Aptos" w:eastAsia="Times New Roman" w:hAnsi="Aptos" w:cs="Segoe UI"/>
                <w:sz w:val="20"/>
                <w:szCs w:val="20"/>
              </w:rPr>
            </w:pPr>
            <w:r>
              <w:rPr>
                <w:rFonts w:ascii="Aptos" w:eastAsia="Times New Roman" w:hAnsi="Aptos" w:cs="Segoe UI"/>
                <w:sz w:val="20"/>
                <w:szCs w:val="20"/>
              </w:rPr>
              <w:t>Currently Chapter 1149 of the Code called’ Supplemental Regulations for all districts’ will be renamed “Temporary Uses” and will only address temporary uses such as construction trailers, food trucks, the keeping of animals, and temporary sales and events</w:t>
            </w:r>
            <w:r w:rsidR="00476119">
              <w:rPr>
                <w:rFonts w:ascii="Aptos" w:eastAsia="Times New Roman" w:hAnsi="Aptos" w:cs="Segoe UI"/>
                <w:sz w:val="20"/>
                <w:szCs w:val="20"/>
              </w:rPr>
              <w:t>.</w:t>
            </w:r>
          </w:p>
          <w:p w14:paraId="55386D10" w14:textId="7D3F3D94" w:rsidR="00476119" w:rsidRDefault="00476119" w:rsidP="009F5CF6">
            <w:pPr>
              <w:rPr>
                <w:rFonts w:ascii="Aptos" w:eastAsia="Times New Roman" w:hAnsi="Aptos" w:cs="Segoe UI"/>
                <w:sz w:val="20"/>
                <w:szCs w:val="20"/>
              </w:rPr>
            </w:pPr>
          </w:p>
        </w:tc>
      </w:tr>
      <w:tr w:rsidR="00DA4A14" w14:paraId="6B76B848" w14:textId="77777777" w:rsidTr="00777DCB">
        <w:tc>
          <w:tcPr>
            <w:tcW w:w="976" w:type="dxa"/>
            <w:shd w:val="clear" w:color="auto" w:fill="D9D9D9" w:themeFill="background1" w:themeFillShade="D9"/>
          </w:tcPr>
          <w:p w14:paraId="3C4604FB" w14:textId="77E293E5" w:rsidR="00254D1D" w:rsidRDefault="00254D1D" w:rsidP="00254D1D">
            <w:pPr>
              <w:jc w:val="center"/>
              <w:rPr>
                <w:rFonts w:ascii="Aptos" w:hAnsi="Aptos"/>
                <w:b/>
                <w:bCs/>
                <w:sz w:val="20"/>
                <w:szCs w:val="20"/>
              </w:rPr>
            </w:pPr>
            <w:r>
              <w:rPr>
                <w:rFonts w:ascii="Aptos" w:hAnsi="Aptos"/>
                <w:b/>
                <w:bCs/>
                <w:sz w:val="20"/>
                <w:szCs w:val="20"/>
              </w:rPr>
              <w:lastRenderedPageBreak/>
              <w:t>1139</w:t>
            </w:r>
          </w:p>
        </w:tc>
        <w:tc>
          <w:tcPr>
            <w:tcW w:w="2079" w:type="dxa"/>
            <w:shd w:val="clear" w:color="auto" w:fill="D9D9D9" w:themeFill="background1" w:themeFillShade="D9"/>
          </w:tcPr>
          <w:p w14:paraId="6539F2F7" w14:textId="0F3CD0CE" w:rsidR="00254D1D" w:rsidRPr="00254D1D" w:rsidRDefault="00254D1D" w:rsidP="009F5CF6">
            <w:pPr>
              <w:rPr>
                <w:rFonts w:ascii="Aptos" w:eastAsia="Times New Roman" w:hAnsi="Aptos" w:cs="Segoe UI"/>
                <w:b/>
                <w:bCs/>
                <w:sz w:val="20"/>
                <w:szCs w:val="20"/>
              </w:rPr>
            </w:pPr>
            <w:r w:rsidRPr="00254D1D">
              <w:rPr>
                <w:rFonts w:ascii="Aptos" w:eastAsia="Times New Roman" w:hAnsi="Aptos" w:cs="Segoe UI"/>
                <w:b/>
                <w:bCs/>
                <w:sz w:val="20"/>
                <w:szCs w:val="20"/>
              </w:rPr>
              <w:t>Nonconforming Lots, Uses &amp; Structures</w:t>
            </w:r>
          </w:p>
        </w:tc>
        <w:tc>
          <w:tcPr>
            <w:tcW w:w="5034" w:type="dxa"/>
          </w:tcPr>
          <w:p w14:paraId="7B2AC924" w14:textId="48231CF4" w:rsidR="00254D1D" w:rsidRPr="009F5CF6" w:rsidRDefault="006E66CA" w:rsidP="009F5CF6">
            <w:pPr>
              <w:rPr>
                <w:rFonts w:ascii="Aptos" w:eastAsia="Times New Roman" w:hAnsi="Aptos" w:cs="Segoe UI"/>
                <w:sz w:val="20"/>
                <w:szCs w:val="20"/>
              </w:rPr>
            </w:pPr>
            <w:r>
              <w:rPr>
                <w:rFonts w:ascii="Aptos" w:eastAsia="Times New Roman" w:hAnsi="Aptos" w:cs="Segoe UI"/>
                <w:sz w:val="20"/>
                <w:szCs w:val="20"/>
              </w:rPr>
              <w:t xml:space="preserve">Refined language for lots, uses, and structures that are considered legal, but nonconforming. </w:t>
            </w:r>
          </w:p>
        </w:tc>
        <w:tc>
          <w:tcPr>
            <w:tcW w:w="6306" w:type="dxa"/>
          </w:tcPr>
          <w:p w14:paraId="26E44630" w14:textId="77777777" w:rsidR="00254D1D" w:rsidRDefault="006E66CA" w:rsidP="009F5CF6">
            <w:pPr>
              <w:rPr>
                <w:rFonts w:ascii="Aptos" w:eastAsia="Times New Roman" w:hAnsi="Aptos" w:cs="Segoe UI"/>
                <w:sz w:val="20"/>
                <w:szCs w:val="20"/>
              </w:rPr>
            </w:pPr>
            <w:r>
              <w:rPr>
                <w:rFonts w:ascii="Aptos" w:eastAsia="Times New Roman" w:hAnsi="Aptos" w:cs="Segoe UI"/>
                <w:sz w:val="20"/>
                <w:szCs w:val="20"/>
              </w:rPr>
              <w:t xml:space="preserve">Made changes to reflect specific situations the department has encountered in regard to nonconforming structures. </w:t>
            </w:r>
          </w:p>
          <w:p w14:paraId="33735AFF" w14:textId="732ED0F1" w:rsidR="00476119" w:rsidRDefault="00476119" w:rsidP="009F5CF6">
            <w:pPr>
              <w:rPr>
                <w:rFonts w:ascii="Aptos" w:eastAsia="Times New Roman" w:hAnsi="Aptos" w:cs="Segoe UI"/>
                <w:sz w:val="20"/>
                <w:szCs w:val="20"/>
              </w:rPr>
            </w:pPr>
          </w:p>
        </w:tc>
      </w:tr>
      <w:tr w:rsidR="00DA4A14" w14:paraId="179C8466" w14:textId="77777777" w:rsidTr="00777DCB">
        <w:tc>
          <w:tcPr>
            <w:tcW w:w="976" w:type="dxa"/>
            <w:shd w:val="clear" w:color="auto" w:fill="D9D9D9" w:themeFill="background1" w:themeFillShade="D9"/>
          </w:tcPr>
          <w:p w14:paraId="6BE0F8BC" w14:textId="763DC5D8" w:rsidR="005D077F" w:rsidRPr="000218AB" w:rsidRDefault="00254D1D" w:rsidP="00A06058">
            <w:pPr>
              <w:jc w:val="center"/>
              <w:rPr>
                <w:rFonts w:ascii="Aptos" w:hAnsi="Aptos"/>
                <w:b/>
                <w:bCs/>
                <w:sz w:val="20"/>
                <w:szCs w:val="20"/>
              </w:rPr>
            </w:pPr>
            <w:r>
              <w:rPr>
                <w:rFonts w:ascii="Aptos" w:hAnsi="Aptos"/>
                <w:b/>
                <w:bCs/>
                <w:sz w:val="20"/>
                <w:szCs w:val="20"/>
              </w:rPr>
              <w:t>1199</w:t>
            </w:r>
          </w:p>
        </w:tc>
        <w:tc>
          <w:tcPr>
            <w:tcW w:w="2079" w:type="dxa"/>
            <w:shd w:val="clear" w:color="auto" w:fill="D9D9D9" w:themeFill="background1" w:themeFillShade="D9"/>
          </w:tcPr>
          <w:p w14:paraId="7AF37945" w14:textId="53B0110E" w:rsidR="005D077F" w:rsidRPr="00254D1D" w:rsidRDefault="00254D1D" w:rsidP="00A06058">
            <w:pPr>
              <w:rPr>
                <w:rFonts w:ascii="Aptos" w:hAnsi="Aptos"/>
                <w:b/>
                <w:bCs/>
                <w:sz w:val="20"/>
                <w:szCs w:val="20"/>
              </w:rPr>
            </w:pPr>
            <w:r w:rsidRPr="00254D1D">
              <w:rPr>
                <w:rFonts w:ascii="Aptos" w:hAnsi="Aptos"/>
                <w:b/>
                <w:bCs/>
                <w:sz w:val="20"/>
                <w:szCs w:val="20"/>
              </w:rPr>
              <w:t>Enforcement &amp; Penalties</w:t>
            </w:r>
          </w:p>
        </w:tc>
        <w:tc>
          <w:tcPr>
            <w:tcW w:w="5034" w:type="dxa"/>
          </w:tcPr>
          <w:p w14:paraId="30B33CDC" w14:textId="07FD3E0A" w:rsidR="005D077F" w:rsidRPr="00D24B69" w:rsidRDefault="006E66CA" w:rsidP="00A06058">
            <w:pPr>
              <w:rPr>
                <w:rFonts w:ascii="Aptos" w:hAnsi="Aptos"/>
                <w:sz w:val="20"/>
                <w:szCs w:val="20"/>
              </w:rPr>
            </w:pPr>
            <w:r>
              <w:rPr>
                <w:rFonts w:ascii="Aptos" w:hAnsi="Aptos"/>
                <w:sz w:val="20"/>
                <w:szCs w:val="20"/>
              </w:rPr>
              <w:t>Ensure consistency of penalties</w:t>
            </w:r>
          </w:p>
        </w:tc>
        <w:tc>
          <w:tcPr>
            <w:tcW w:w="6306" w:type="dxa"/>
          </w:tcPr>
          <w:p w14:paraId="67328170" w14:textId="714EDD84" w:rsidR="005D077F" w:rsidRPr="00D24B69" w:rsidRDefault="006E66CA" w:rsidP="00A06058">
            <w:pPr>
              <w:rPr>
                <w:rFonts w:ascii="Aptos" w:hAnsi="Aptos"/>
                <w:sz w:val="20"/>
                <w:szCs w:val="20"/>
              </w:rPr>
            </w:pPr>
            <w:r>
              <w:rPr>
                <w:rFonts w:ascii="Aptos" w:hAnsi="Aptos"/>
                <w:sz w:val="20"/>
                <w:szCs w:val="20"/>
              </w:rPr>
              <w:t>Current</w:t>
            </w:r>
            <w:r w:rsidR="00BA2EBF">
              <w:rPr>
                <w:rFonts w:ascii="Aptos" w:hAnsi="Aptos"/>
                <w:sz w:val="20"/>
                <w:szCs w:val="20"/>
              </w:rPr>
              <w:t>ly</w:t>
            </w:r>
            <w:r>
              <w:rPr>
                <w:rFonts w:ascii="Aptos" w:hAnsi="Aptos"/>
                <w:sz w:val="20"/>
                <w:szCs w:val="20"/>
              </w:rPr>
              <w:t xml:space="preserve"> under review</w:t>
            </w:r>
            <w:r w:rsidR="00BA2EBF">
              <w:rPr>
                <w:rFonts w:ascii="Aptos" w:hAnsi="Aptos"/>
                <w:sz w:val="20"/>
                <w:szCs w:val="20"/>
              </w:rPr>
              <w:t xml:space="preserve"> by Staff.</w:t>
            </w:r>
            <w:r>
              <w:rPr>
                <w:rFonts w:ascii="Aptos" w:hAnsi="Aptos"/>
                <w:sz w:val="20"/>
                <w:szCs w:val="20"/>
              </w:rPr>
              <w:t xml:space="preserve"> </w:t>
            </w:r>
          </w:p>
        </w:tc>
      </w:tr>
    </w:tbl>
    <w:p w14:paraId="57FB1CDF" w14:textId="77777777" w:rsidR="00CA1084" w:rsidRDefault="00CA1084" w:rsidP="00BA1D98">
      <w:pPr>
        <w:ind w:firstLine="720"/>
        <w:rPr>
          <w:rFonts w:ascii="Aptos" w:hAnsi="Aptos"/>
        </w:rPr>
      </w:pPr>
    </w:p>
    <w:p w14:paraId="36CC1724" w14:textId="77777777" w:rsidR="00CA1084" w:rsidRPr="00BA1D98" w:rsidRDefault="00CA1084" w:rsidP="00CA1084">
      <w:pPr>
        <w:rPr>
          <w:rFonts w:ascii="Aptos" w:hAnsi="Aptos"/>
        </w:rPr>
      </w:pPr>
    </w:p>
    <w:p w14:paraId="0DCBFE41" w14:textId="77777777" w:rsidR="00316D63" w:rsidRPr="00BA1D98" w:rsidRDefault="00316D63">
      <w:pPr>
        <w:rPr>
          <w:rFonts w:ascii="Aptos" w:hAnsi="Aptos"/>
        </w:rPr>
      </w:pPr>
    </w:p>
    <w:sectPr w:rsidR="00316D63" w:rsidRPr="00BA1D98" w:rsidSect="001C3D3C">
      <w:headerReference w:type="default" r:id="rId8"/>
      <w:headerReference w:type="first" r:id="rId9"/>
      <w:pgSz w:w="15840" w:h="12240" w:orient="landscape"/>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D7046" w14:textId="77777777" w:rsidR="003D59DC" w:rsidRDefault="003D59DC" w:rsidP="00E53C16">
      <w:pPr>
        <w:spacing w:after="0" w:line="240" w:lineRule="auto"/>
      </w:pPr>
      <w:r>
        <w:separator/>
      </w:r>
    </w:p>
  </w:endnote>
  <w:endnote w:type="continuationSeparator" w:id="0">
    <w:p w14:paraId="74BD5376" w14:textId="77777777" w:rsidR="003D59DC" w:rsidRDefault="003D59DC" w:rsidP="00E5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15B4A" w14:textId="77777777" w:rsidR="003D59DC" w:rsidRDefault="003D59DC" w:rsidP="00E53C16">
      <w:pPr>
        <w:spacing w:after="0" w:line="240" w:lineRule="auto"/>
      </w:pPr>
      <w:r>
        <w:separator/>
      </w:r>
    </w:p>
  </w:footnote>
  <w:footnote w:type="continuationSeparator" w:id="0">
    <w:p w14:paraId="3ADDCC58" w14:textId="77777777" w:rsidR="003D59DC" w:rsidRDefault="003D59DC" w:rsidP="00E5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6DD2" w14:textId="77777777" w:rsidR="00337E8E" w:rsidRDefault="00337E8E" w:rsidP="00337E8E">
    <w:pPr>
      <w:pStyle w:val="Header"/>
    </w:pPr>
  </w:p>
  <w:p w14:paraId="714AFF72" w14:textId="77777777" w:rsidR="00E53C16" w:rsidRDefault="00E53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A3AE" w14:textId="77777777" w:rsidR="00651F16" w:rsidRDefault="00651F16" w:rsidP="00214760">
    <w:pPr>
      <w:pStyle w:val="Header"/>
      <w:jc w:val="center"/>
    </w:pPr>
  </w:p>
  <w:p w14:paraId="39914AF3" w14:textId="77777777" w:rsidR="001C3D3C" w:rsidRDefault="001C3D3C" w:rsidP="00214760">
    <w:pPr>
      <w:pStyle w:val="Header"/>
      <w:jc w:val="center"/>
    </w:pPr>
  </w:p>
  <w:p w14:paraId="6760C020" w14:textId="6C898398" w:rsidR="003C7A90" w:rsidRDefault="00B624A2" w:rsidP="00214760">
    <w:pPr>
      <w:pStyle w:val="Header"/>
      <w:jc w:val="center"/>
    </w:pPr>
    <w:r>
      <w:rPr>
        <w:noProof/>
      </w:rPr>
      <w:drawing>
        <wp:inline distT="0" distB="0" distL="0" distR="0" wp14:anchorId="728A52A8" wp14:editId="3F91DB5C">
          <wp:extent cx="2590800" cy="896958"/>
          <wp:effectExtent l="0" t="0" r="0" b="0"/>
          <wp:docPr id="767923942" name="Picture 76792394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2672" cy="897606"/>
                  </a:xfrm>
                  <a:prstGeom prst="rect">
                    <a:avLst/>
                  </a:prstGeom>
                </pic:spPr>
              </pic:pic>
            </a:graphicData>
          </a:graphic>
        </wp:inline>
      </w:drawing>
    </w:r>
  </w:p>
  <w:p w14:paraId="685621DC" w14:textId="52CFD2B1" w:rsidR="000E5682" w:rsidRDefault="000E5682" w:rsidP="002147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A17"/>
    <w:multiLevelType w:val="hybridMultilevel"/>
    <w:tmpl w:val="48CAE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E44DD"/>
    <w:multiLevelType w:val="hybridMultilevel"/>
    <w:tmpl w:val="1102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11322"/>
    <w:multiLevelType w:val="hybridMultilevel"/>
    <w:tmpl w:val="5798CBEC"/>
    <w:lvl w:ilvl="0" w:tplc="8FB45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E504C"/>
    <w:multiLevelType w:val="hybridMultilevel"/>
    <w:tmpl w:val="745C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E0B0F"/>
    <w:multiLevelType w:val="hybridMultilevel"/>
    <w:tmpl w:val="F00C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96D12"/>
    <w:multiLevelType w:val="hybridMultilevel"/>
    <w:tmpl w:val="4A1E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C1D6D"/>
    <w:multiLevelType w:val="hybridMultilevel"/>
    <w:tmpl w:val="2CE4B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5B3AB7"/>
    <w:multiLevelType w:val="hybridMultilevel"/>
    <w:tmpl w:val="70828928"/>
    <w:lvl w:ilvl="0" w:tplc="392467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A3408"/>
    <w:multiLevelType w:val="hybridMultilevel"/>
    <w:tmpl w:val="A958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270CD"/>
    <w:multiLevelType w:val="hybridMultilevel"/>
    <w:tmpl w:val="897A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F1C5A"/>
    <w:multiLevelType w:val="hybridMultilevel"/>
    <w:tmpl w:val="9F50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036F1"/>
    <w:multiLevelType w:val="hybridMultilevel"/>
    <w:tmpl w:val="CFF2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779D0"/>
    <w:multiLevelType w:val="hybridMultilevel"/>
    <w:tmpl w:val="C23648E8"/>
    <w:lvl w:ilvl="0" w:tplc="58148B60">
      <w:start w:val="1"/>
      <w:numFmt w:val="bullet"/>
      <w:pStyle w:val="PCD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807343"/>
    <w:multiLevelType w:val="hybridMultilevel"/>
    <w:tmpl w:val="699ACE4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623A1B11"/>
    <w:multiLevelType w:val="hybridMultilevel"/>
    <w:tmpl w:val="F98290A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678526B1"/>
    <w:multiLevelType w:val="multilevel"/>
    <w:tmpl w:val="22E89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9E41BEB"/>
    <w:multiLevelType w:val="multilevel"/>
    <w:tmpl w:val="6CDA6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C412998"/>
    <w:multiLevelType w:val="hybridMultilevel"/>
    <w:tmpl w:val="14B25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4149329">
    <w:abstractNumId w:val="2"/>
  </w:num>
  <w:num w:numId="2" w16cid:durableId="367337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34943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59387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466551">
    <w:abstractNumId w:val="8"/>
  </w:num>
  <w:num w:numId="6" w16cid:durableId="345597927">
    <w:abstractNumId w:val="7"/>
  </w:num>
  <w:num w:numId="7" w16cid:durableId="1923295991">
    <w:abstractNumId w:val="11"/>
  </w:num>
  <w:num w:numId="8" w16cid:durableId="1878807796">
    <w:abstractNumId w:val="9"/>
  </w:num>
  <w:num w:numId="9" w16cid:durableId="1426419589">
    <w:abstractNumId w:val="4"/>
  </w:num>
  <w:num w:numId="10" w16cid:durableId="1709180353">
    <w:abstractNumId w:val="10"/>
  </w:num>
  <w:num w:numId="11" w16cid:durableId="1836920487">
    <w:abstractNumId w:val="3"/>
  </w:num>
  <w:num w:numId="12" w16cid:durableId="489715659">
    <w:abstractNumId w:val="5"/>
  </w:num>
  <w:num w:numId="13" w16cid:durableId="1903708558">
    <w:abstractNumId w:val="0"/>
  </w:num>
  <w:num w:numId="14" w16cid:durableId="769930635">
    <w:abstractNumId w:val="12"/>
  </w:num>
  <w:num w:numId="15" w16cid:durableId="1806775878">
    <w:abstractNumId w:val="14"/>
  </w:num>
  <w:num w:numId="16" w16cid:durableId="1982151420">
    <w:abstractNumId w:val="6"/>
  </w:num>
  <w:num w:numId="17" w16cid:durableId="1687975082">
    <w:abstractNumId w:val="13"/>
  </w:num>
  <w:num w:numId="18" w16cid:durableId="300499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16"/>
    <w:rsid w:val="00002FC3"/>
    <w:rsid w:val="0000677B"/>
    <w:rsid w:val="000218AB"/>
    <w:rsid w:val="000241F2"/>
    <w:rsid w:val="000258C7"/>
    <w:rsid w:val="000302AE"/>
    <w:rsid w:val="0003288C"/>
    <w:rsid w:val="00042D53"/>
    <w:rsid w:val="00045405"/>
    <w:rsid w:val="0004541F"/>
    <w:rsid w:val="00066F4B"/>
    <w:rsid w:val="00070EF3"/>
    <w:rsid w:val="00080679"/>
    <w:rsid w:val="00082242"/>
    <w:rsid w:val="00086ED1"/>
    <w:rsid w:val="00097C95"/>
    <w:rsid w:val="000A00DC"/>
    <w:rsid w:val="000A21FD"/>
    <w:rsid w:val="000B5D8C"/>
    <w:rsid w:val="000C1381"/>
    <w:rsid w:val="000C2633"/>
    <w:rsid w:val="000C7198"/>
    <w:rsid w:val="000D3011"/>
    <w:rsid w:val="000D4555"/>
    <w:rsid w:val="000D78FE"/>
    <w:rsid w:val="000E3EAD"/>
    <w:rsid w:val="000E3F68"/>
    <w:rsid w:val="000E4780"/>
    <w:rsid w:val="000E5682"/>
    <w:rsid w:val="000F0597"/>
    <w:rsid w:val="00105BAF"/>
    <w:rsid w:val="001108E5"/>
    <w:rsid w:val="00111B34"/>
    <w:rsid w:val="00117014"/>
    <w:rsid w:val="00117189"/>
    <w:rsid w:val="00131872"/>
    <w:rsid w:val="00135380"/>
    <w:rsid w:val="001413FE"/>
    <w:rsid w:val="00156766"/>
    <w:rsid w:val="00160719"/>
    <w:rsid w:val="00160B16"/>
    <w:rsid w:val="001704F0"/>
    <w:rsid w:val="00182DC6"/>
    <w:rsid w:val="00190D81"/>
    <w:rsid w:val="0019123C"/>
    <w:rsid w:val="00191409"/>
    <w:rsid w:val="001A42D8"/>
    <w:rsid w:val="001A5A9C"/>
    <w:rsid w:val="001B0276"/>
    <w:rsid w:val="001B0EB7"/>
    <w:rsid w:val="001B4212"/>
    <w:rsid w:val="001B68FC"/>
    <w:rsid w:val="001B7B63"/>
    <w:rsid w:val="001C3D3C"/>
    <w:rsid w:val="001C47AF"/>
    <w:rsid w:val="001E2DE7"/>
    <w:rsid w:val="001F0BE9"/>
    <w:rsid w:val="001F15C1"/>
    <w:rsid w:val="001F6E73"/>
    <w:rsid w:val="002066D8"/>
    <w:rsid w:val="00214760"/>
    <w:rsid w:val="00217912"/>
    <w:rsid w:val="00226016"/>
    <w:rsid w:val="002306BB"/>
    <w:rsid w:val="00234356"/>
    <w:rsid w:val="002404FE"/>
    <w:rsid w:val="00243035"/>
    <w:rsid w:val="002446F2"/>
    <w:rsid w:val="002500E0"/>
    <w:rsid w:val="00254D1D"/>
    <w:rsid w:val="00255A3C"/>
    <w:rsid w:val="002629F8"/>
    <w:rsid w:val="00263D36"/>
    <w:rsid w:val="002929B4"/>
    <w:rsid w:val="00296A31"/>
    <w:rsid w:val="0029753B"/>
    <w:rsid w:val="002A3BB3"/>
    <w:rsid w:val="002B4F1A"/>
    <w:rsid w:val="002D7477"/>
    <w:rsid w:val="002E0B0A"/>
    <w:rsid w:val="002E0F25"/>
    <w:rsid w:val="002E19E3"/>
    <w:rsid w:val="002E72CC"/>
    <w:rsid w:val="002F2BF8"/>
    <w:rsid w:val="002F3838"/>
    <w:rsid w:val="002F6A18"/>
    <w:rsid w:val="002F6F13"/>
    <w:rsid w:val="00302CC5"/>
    <w:rsid w:val="0030564D"/>
    <w:rsid w:val="00312569"/>
    <w:rsid w:val="00312FAF"/>
    <w:rsid w:val="003146B0"/>
    <w:rsid w:val="00316D63"/>
    <w:rsid w:val="00320522"/>
    <w:rsid w:val="003227FA"/>
    <w:rsid w:val="00323C6D"/>
    <w:rsid w:val="00330419"/>
    <w:rsid w:val="00337E8E"/>
    <w:rsid w:val="00340471"/>
    <w:rsid w:val="00346AFB"/>
    <w:rsid w:val="00361AF2"/>
    <w:rsid w:val="00365971"/>
    <w:rsid w:val="00366E5D"/>
    <w:rsid w:val="0037282F"/>
    <w:rsid w:val="00373DC9"/>
    <w:rsid w:val="00374E0D"/>
    <w:rsid w:val="0038160E"/>
    <w:rsid w:val="0038508B"/>
    <w:rsid w:val="003A057F"/>
    <w:rsid w:val="003A0A7B"/>
    <w:rsid w:val="003A5686"/>
    <w:rsid w:val="003A5F83"/>
    <w:rsid w:val="003B14E1"/>
    <w:rsid w:val="003C7A90"/>
    <w:rsid w:val="003D532F"/>
    <w:rsid w:val="003D59DC"/>
    <w:rsid w:val="003E0FA3"/>
    <w:rsid w:val="003E1706"/>
    <w:rsid w:val="003E5F27"/>
    <w:rsid w:val="003F2268"/>
    <w:rsid w:val="003F6AF6"/>
    <w:rsid w:val="00401690"/>
    <w:rsid w:val="00401AE8"/>
    <w:rsid w:val="00411D99"/>
    <w:rsid w:val="00415748"/>
    <w:rsid w:val="00417AD4"/>
    <w:rsid w:val="0042342D"/>
    <w:rsid w:val="00423BA1"/>
    <w:rsid w:val="004279F1"/>
    <w:rsid w:val="00434C8B"/>
    <w:rsid w:val="00441342"/>
    <w:rsid w:val="00444023"/>
    <w:rsid w:val="004567D1"/>
    <w:rsid w:val="00467250"/>
    <w:rsid w:val="00476119"/>
    <w:rsid w:val="004832AE"/>
    <w:rsid w:val="00491E96"/>
    <w:rsid w:val="0049685E"/>
    <w:rsid w:val="00497B78"/>
    <w:rsid w:val="004A0744"/>
    <w:rsid w:val="004B311C"/>
    <w:rsid w:val="004C50AB"/>
    <w:rsid w:val="004C523B"/>
    <w:rsid w:val="004D5191"/>
    <w:rsid w:val="004D5561"/>
    <w:rsid w:val="004D780B"/>
    <w:rsid w:val="004E027E"/>
    <w:rsid w:val="004E1246"/>
    <w:rsid w:val="004E335D"/>
    <w:rsid w:val="004E51C4"/>
    <w:rsid w:val="00506F51"/>
    <w:rsid w:val="00511A43"/>
    <w:rsid w:val="00516BD4"/>
    <w:rsid w:val="00520C2D"/>
    <w:rsid w:val="0052350D"/>
    <w:rsid w:val="00525E11"/>
    <w:rsid w:val="005269B2"/>
    <w:rsid w:val="00530131"/>
    <w:rsid w:val="00534ADF"/>
    <w:rsid w:val="00547F24"/>
    <w:rsid w:val="00551847"/>
    <w:rsid w:val="00556105"/>
    <w:rsid w:val="00556D4D"/>
    <w:rsid w:val="005658CB"/>
    <w:rsid w:val="00567D9A"/>
    <w:rsid w:val="0057048C"/>
    <w:rsid w:val="00572522"/>
    <w:rsid w:val="005750A7"/>
    <w:rsid w:val="00582340"/>
    <w:rsid w:val="00585B75"/>
    <w:rsid w:val="00590B90"/>
    <w:rsid w:val="00593F73"/>
    <w:rsid w:val="005A5087"/>
    <w:rsid w:val="005A57AF"/>
    <w:rsid w:val="005A6A81"/>
    <w:rsid w:val="005B16C9"/>
    <w:rsid w:val="005B3943"/>
    <w:rsid w:val="005B5FEB"/>
    <w:rsid w:val="005C1D3D"/>
    <w:rsid w:val="005D077F"/>
    <w:rsid w:val="005F1E78"/>
    <w:rsid w:val="005F30D9"/>
    <w:rsid w:val="005F32D3"/>
    <w:rsid w:val="006035AB"/>
    <w:rsid w:val="00603623"/>
    <w:rsid w:val="0060497F"/>
    <w:rsid w:val="00615341"/>
    <w:rsid w:val="0063055B"/>
    <w:rsid w:val="00634B4F"/>
    <w:rsid w:val="00640EF2"/>
    <w:rsid w:val="0065143A"/>
    <w:rsid w:val="0065189A"/>
    <w:rsid w:val="00651F16"/>
    <w:rsid w:val="006536D4"/>
    <w:rsid w:val="0066640C"/>
    <w:rsid w:val="0067018B"/>
    <w:rsid w:val="00684953"/>
    <w:rsid w:val="00684DAE"/>
    <w:rsid w:val="00686323"/>
    <w:rsid w:val="00692258"/>
    <w:rsid w:val="006A32D5"/>
    <w:rsid w:val="006A5C28"/>
    <w:rsid w:val="006A5C6D"/>
    <w:rsid w:val="006A7FFA"/>
    <w:rsid w:val="006B31FF"/>
    <w:rsid w:val="006C62DE"/>
    <w:rsid w:val="006D5E3A"/>
    <w:rsid w:val="006E30F7"/>
    <w:rsid w:val="006E66CA"/>
    <w:rsid w:val="006E6A92"/>
    <w:rsid w:val="006F107C"/>
    <w:rsid w:val="006F1B19"/>
    <w:rsid w:val="006F704C"/>
    <w:rsid w:val="00701CC9"/>
    <w:rsid w:val="00703491"/>
    <w:rsid w:val="00704672"/>
    <w:rsid w:val="00704DB5"/>
    <w:rsid w:val="00723C02"/>
    <w:rsid w:val="007313EE"/>
    <w:rsid w:val="0074398A"/>
    <w:rsid w:val="00744A32"/>
    <w:rsid w:val="007456FC"/>
    <w:rsid w:val="007460D9"/>
    <w:rsid w:val="0074738C"/>
    <w:rsid w:val="00747BBF"/>
    <w:rsid w:val="00755EF0"/>
    <w:rsid w:val="00756B76"/>
    <w:rsid w:val="00763E51"/>
    <w:rsid w:val="007661A0"/>
    <w:rsid w:val="007745EB"/>
    <w:rsid w:val="00777DCB"/>
    <w:rsid w:val="007813EA"/>
    <w:rsid w:val="007835DB"/>
    <w:rsid w:val="0079012B"/>
    <w:rsid w:val="0079469E"/>
    <w:rsid w:val="007946E1"/>
    <w:rsid w:val="007A240C"/>
    <w:rsid w:val="007C0D1D"/>
    <w:rsid w:val="007C1001"/>
    <w:rsid w:val="007C312C"/>
    <w:rsid w:val="007C7BFF"/>
    <w:rsid w:val="007E7F00"/>
    <w:rsid w:val="007F18DA"/>
    <w:rsid w:val="007F5BCB"/>
    <w:rsid w:val="00813E3E"/>
    <w:rsid w:val="00814FDF"/>
    <w:rsid w:val="00816E3F"/>
    <w:rsid w:val="00825AE6"/>
    <w:rsid w:val="00830C18"/>
    <w:rsid w:val="00832239"/>
    <w:rsid w:val="00837EF8"/>
    <w:rsid w:val="00845662"/>
    <w:rsid w:val="00853D17"/>
    <w:rsid w:val="00855912"/>
    <w:rsid w:val="0086029D"/>
    <w:rsid w:val="008721BF"/>
    <w:rsid w:val="008800E2"/>
    <w:rsid w:val="00881B84"/>
    <w:rsid w:val="00883429"/>
    <w:rsid w:val="00883C9D"/>
    <w:rsid w:val="00890D09"/>
    <w:rsid w:val="00892263"/>
    <w:rsid w:val="00894E0F"/>
    <w:rsid w:val="008951C7"/>
    <w:rsid w:val="008A1E87"/>
    <w:rsid w:val="008A6938"/>
    <w:rsid w:val="008A7F1F"/>
    <w:rsid w:val="008B0D9A"/>
    <w:rsid w:val="008B6493"/>
    <w:rsid w:val="008C0D16"/>
    <w:rsid w:val="008E350D"/>
    <w:rsid w:val="008E6FF8"/>
    <w:rsid w:val="008F3442"/>
    <w:rsid w:val="008F3C0A"/>
    <w:rsid w:val="0090451C"/>
    <w:rsid w:val="009215DF"/>
    <w:rsid w:val="00923D75"/>
    <w:rsid w:val="009327FE"/>
    <w:rsid w:val="0094293A"/>
    <w:rsid w:val="00953376"/>
    <w:rsid w:val="00960AF5"/>
    <w:rsid w:val="009619C7"/>
    <w:rsid w:val="00962D01"/>
    <w:rsid w:val="009663DD"/>
    <w:rsid w:val="0097457E"/>
    <w:rsid w:val="009752A2"/>
    <w:rsid w:val="00990CF1"/>
    <w:rsid w:val="00996060"/>
    <w:rsid w:val="009A51B4"/>
    <w:rsid w:val="009A612E"/>
    <w:rsid w:val="009B318B"/>
    <w:rsid w:val="009B5976"/>
    <w:rsid w:val="009D4F0A"/>
    <w:rsid w:val="009D5849"/>
    <w:rsid w:val="009E0B10"/>
    <w:rsid w:val="009E7FFC"/>
    <w:rsid w:val="009F0E90"/>
    <w:rsid w:val="009F5CF6"/>
    <w:rsid w:val="00A00E23"/>
    <w:rsid w:val="00A04AD7"/>
    <w:rsid w:val="00A06058"/>
    <w:rsid w:val="00A10D7B"/>
    <w:rsid w:val="00A11F95"/>
    <w:rsid w:val="00A1604E"/>
    <w:rsid w:val="00A22940"/>
    <w:rsid w:val="00A33430"/>
    <w:rsid w:val="00A36FF0"/>
    <w:rsid w:val="00A409B6"/>
    <w:rsid w:val="00A45647"/>
    <w:rsid w:val="00A46DE8"/>
    <w:rsid w:val="00A47EF5"/>
    <w:rsid w:val="00A51EEA"/>
    <w:rsid w:val="00A57C9A"/>
    <w:rsid w:val="00A72995"/>
    <w:rsid w:val="00A74994"/>
    <w:rsid w:val="00A76200"/>
    <w:rsid w:val="00A912C5"/>
    <w:rsid w:val="00A930CE"/>
    <w:rsid w:val="00AA186D"/>
    <w:rsid w:val="00AB4ACE"/>
    <w:rsid w:val="00AC5B14"/>
    <w:rsid w:val="00AD07C0"/>
    <w:rsid w:val="00AD3A0C"/>
    <w:rsid w:val="00AE51B7"/>
    <w:rsid w:val="00AE53AE"/>
    <w:rsid w:val="00AE6558"/>
    <w:rsid w:val="00AE79B1"/>
    <w:rsid w:val="00B04940"/>
    <w:rsid w:val="00B20D92"/>
    <w:rsid w:val="00B24916"/>
    <w:rsid w:val="00B24F90"/>
    <w:rsid w:val="00B33359"/>
    <w:rsid w:val="00B408B4"/>
    <w:rsid w:val="00B45BD2"/>
    <w:rsid w:val="00B535E5"/>
    <w:rsid w:val="00B553F4"/>
    <w:rsid w:val="00B568F3"/>
    <w:rsid w:val="00B61877"/>
    <w:rsid w:val="00B624A2"/>
    <w:rsid w:val="00B635DD"/>
    <w:rsid w:val="00B662DD"/>
    <w:rsid w:val="00B67870"/>
    <w:rsid w:val="00B72249"/>
    <w:rsid w:val="00B87D95"/>
    <w:rsid w:val="00BA1D98"/>
    <w:rsid w:val="00BA2EBF"/>
    <w:rsid w:val="00BC5F66"/>
    <w:rsid w:val="00BC745F"/>
    <w:rsid w:val="00BD1C5B"/>
    <w:rsid w:val="00BD3536"/>
    <w:rsid w:val="00BE1B59"/>
    <w:rsid w:val="00BE2BC6"/>
    <w:rsid w:val="00BE441E"/>
    <w:rsid w:val="00BF0669"/>
    <w:rsid w:val="00BF0ABE"/>
    <w:rsid w:val="00C05B0F"/>
    <w:rsid w:val="00C07E4A"/>
    <w:rsid w:val="00C10D56"/>
    <w:rsid w:val="00C142B8"/>
    <w:rsid w:val="00C15954"/>
    <w:rsid w:val="00C22869"/>
    <w:rsid w:val="00C241CA"/>
    <w:rsid w:val="00C25DB4"/>
    <w:rsid w:val="00C343CD"/>
    <w:rsid w:val="00C41651"/>
    <w:rsid w:val="00C43A9F"/>
    <w:rsid w:val="00C43CF9"/>
    <w:rsid w:val="00C561E5"/>
    <w:rsid w:val="00C5775A"/>
    <w:rsid w:val="00C60F4F"/>
    <w:rsid w:val="00C62A1E"/>
    <w:rsid w:val="00C65929"/>
    <w:rsid w:val="00C709A6"/>
    <w:rsid w:val="00C7366C"/>
    <w:rsid w:val="00C73D80"/>
    <w:rsid w:val="00C86D46"/>
    <w:rsid w:val="00CA1084"/>
    <w:rsid w:val="00CA5A9E"/>
    <w:rsid w:val="00CB239A"/>
    <w:rsid w:val="00CD6018"/>
    <w:rsid w:val="00CF3C35"/>
    <w:rsid w:val="00D118FE"/>
    <w:rsid w:val="00D1507C"/>
    <w:rsid w:val="00D21BB4"/>
    <w:rsid w:val="00D24B69"/>
    <w:rsid w:val="00D26B73"/>
    <w:rsid w:val="00D31BF1"/>
    <w:rsid w:val="00D61A98"/>
    <w:rsid w:val="00D6336A"/>
    <w:rsid w:val="00D701C3"/>
    <w:rsid w:val="00D71040"/>
    <w:rsid w:val="00D713FA"/>
    <w:rsid w:val="00D7568B"/>
    <w:rsid w:val="00D7711C"/>
    <w:rsid w:val="00D836D2"/>
    <w:rsid w:val="00D865D8"/>
    <w:rsid w:val="00D87C65"/>
    <w:rsid w:val="00D97FDD"/>
    <w:rsid w:val="00DA4A14"/>
    <w:rsid w:val="00DB2AC1"/>
    <w:rsid w:val="00DC60C2"/>
    <w:rsid w:val="00DD490F"/>
    <w:rsid w:val="00DE078E"/>
    <w:rsid w:val="00DE1DE3"/>
    <w:rsid w:val="00DF004D"/>
    <w:rsid w:val="00DF5D47"/>
    <w:rsid w:val="00E05680"/>
    <w:rsid w:val="00E21C6B"/>
    <w:rsid w:val="00E220F8"/>
    <w:rsid w:val="00E22644"/>
    <w:rsid w:val="00E24CAE"/>
    <w:rsid w:val="00E32BC2"/>
    <w:rsid w:val="00E34EDD"/>
    <w:rsid w:val="00E353A0"/>
    <w:rsid w:val="00E375B8"/>
    <w:rsid w:val="00E4156C"/>
    <w:rsid w:val="00E52334"/>
    <w:rsid w:val="00E53B54"/>
    <w:rsid w:val="00E53C16"/>
    <w:rsid w:val="00E63F5F"/>
    <w:rsid w:val="00E71FE4"/>
    <w:rsid w:val="00E7382D"/>
    <w:rsid w:val="00E75180"/>
    <w:rsid w:val="00E758A2"/>
    <w:rsid w:val="00E86C9F"/>
    <w:rsid w:val="00E86CD1"/>
    <w:rsid w:val="00E959F5"/>
    <w:rsid w:val="00E96533"/>
    <w:rsid w:val="00EA0E57"/>
    <w:rsid w:val="00EA28A2"/>
    <w:rsid w:val="00EC05DB"/>
    <w:rsid w:val="00EC651C"/>
    <w:rsid w:val="00EC66E2"/>
    <w:rsid w:val="00ED417B"/>
    <w:rsid w:val="00EE66F1"/>
    <w:rsid w:val="00EE7F54"/>
    <w:rsid w:val="00EF1AE4"/>
    <w:rsid w:val="00EF24EE"/>
    <w:rsid w:val="00EF6FE8"/>
    <w:rsid w:val="00F011E5"/>
    <w:rsid w:val="00F154EF"/>
    <w:rsid w:val="00F27865"/>
    <w:rsid w:val="00F42FDE"/>
    <w:rsid w:val="00F43C0E"/>
    <w:rsid w:val="00F5110A"/>
    <w:rsid w:val="00F5121A"/>
    <w:rsid w:val="00F521A0"/>
    <w:rsid w:val="00F55650"/>
    <w:rsid w:val="00F55C72"/>
    <w:rsid w:val="00F57FA2"/>
    <w:rsid w:val="00F61FC6"/>
    <w:rsid w:val="00F627EA"/>
    <w:rsid w:val="00F660BF"/>
    <w:rsid w:val="00F7364C"/>
    <w:rsid w:val="00F8278A"/>
    <w:rsid w:val="00F83E71"/>
    <w:rsid w:val="00F864C5"/>
    <w:rsid w:val="00FA70EE"/>
    <w:rsid w:val="00FB5140"/>
    <w:rsid w:val="00FC6360"/>
    <w:rsid w:val="00FD0072"/>
    <w:rsid w:val="00FD0458"/>
    <w:rsid w:val="00FD1E78"/>
    <w:rsid w:val="00FF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3DA93"/>
  <w15:docId w15:val="{3B18F538-8DC2-44A3-B2C8-22F9028D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C16"/>
  </w:style>
  <w:style w:type="paragraph" w:styleId="Footer">
    <w:name w:val="footer"/>
    <w:basedOn w:val="Normal"/>
    <w:link w:val="FooterChar"/>
    <w:uiPriority w:val="99"/>
    <w:unhideWhenUsed/>
    <w:rsid w:val="00E53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C16"/>
  </w:style>
  <w:style w:type="paragraph" w:styleId="BalloonText">
    <w:name w:val="Balloon Text"/>
    <w:basedOn w:val="Normal"/>
    <w:link w:val="BalloonTextChar"/>
    <w:uiPriority w:val="99"/>
    <w:semiHidden/>
    <w:unhideWhenUsed/>
    <w:rsid w:val="00E53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C16"/>
    <w:rPr>
      <w:rFonts w:ascii="Tahoma" w:hAnsi="Tahoma" w:cs="Tahoma"/>
      <w:sz w:val="16"/>
      <w:szCs w:val="16"/>
    </w:rPr>
  </w:style>
  <w:style w:type="paragraph" w:customStyle="1" w:styleId="TableParagraph">
    <w:name w:val="Table Paragraph"/>
    <w:basedOn w:val="Normal"/>
    <w:uiPriority w:val="1"/>
    <w:qFormat/>
    <w:rsid w:val="00E53C16"/>
    <w:pPr>
      <w:widowControl w:val="0"/>
      <w:spacing w:after="0" w:line="240" w:lineRule="auto"/>
    </w:pPr>
  </w:style>
  <w:style w:type="paragraph" w:styleId="ListParagraph">
    <w:name w:val="List Paragraph"/>
    <w:basedOn w:val="Normal"/>
    <w:uiPriority w:val="34"/>
    <w:qFormat/>
    <w:rsid w:val="00747BBF"/>
    <w:pPr>
      <w:ind w:left="720"/>
      <w:contextualSpacing/>
    </w:pPr>
  </w:style>
  <w:style w:type="paragraph" w:styleId="NormalWeb">
    <w:name w:val="Normal (Web)"/>
    <w:basedOn w:val="Normal"/>
    <w:uiPriority w:val="99"/>
    <w:semiHidden/>
    <w:unhideWhenUsed/>
    <w:rsid w:val="006A7FFA"/>
    <w:pPr>
      <w:spacing w:after="0" w:line="240" w:lineRule="auto"/>
    </w:pPr>
    <w:rPr>
      <w:rFonts w:ascii="Calibri" w:hAnsi="Calibri" w:cs="Calibri"/>
    </w:rPr>
  </w:style>
  <w:style w:type="character" w:styleId="Hyperlink">
    <w:name w:val="Hyperlink"/>
    <w:basedOn w:val="DefaultParagraphFont"/>
    <w:uiPriority w:val="99"/>
    <w:unhideWhenUsed/>
    <w:rsid w:val="00E53B54"/>
    <w:rPr>
      <w:color w:val="0000FF"/>
      <w:u w:val="single"/>
    </w:rPr>
  </w:style>
  <w:style w:type="character" w:customStyle="1" w:styleId="UnresolvedMention1">
    <w:name w:val="Unresolved Mention1"/>
    <w:basedOn w:val="DefaultParagraphFont"/>
    <w:uiPriority w:val="99"/>
    <w:semiHidden/>
    <w:unhideWhenUsed/>
    <w:rsid w:val="001A42D8"/>
    <w:rPr>
      <w:color w:val="605E5C"/>
      <w:shd w:val="clear" w:color="auto" w:fill="E1DFDD"/>
    </w:rPr>
  </w:style>
  <w:style w:type="character" w:customStyle="1" w:styleId="PlainTextChar">
    <w:name w:val="Plain Text Char"/>
    <w:basedOn w:val="DefaultParagraphFont"/>
    <w:link w:val="PlainText"/>
    <w:semiHidden/>
    <w:locked/>
    <w:rsid w:val="001A42D8"/>
    <w:rPr>
      <w:szCs w:val="21"/>
    </w:rPr>
  </w:style>
  <w:style w:type="paragraph" w:styleId="PlainText">
    <w:name w:val="Plain Text"/>
    <w:basedOn w:val="Normal"/>
    <w:link w:val="PlainTextChar"/>
    <w:semiHidden/>
    <w:rsid w:val="001A42D8"/>
    <w:pPr>
      <w:spacing w:after="0" w:line="240" w:lineRule="auto"/>
    </w:pPr>
    <w:rPr>
      <w:szCs w:val="21"/>
    </w:rPr>
  </w:style>
  <w:style w:type="character" w:customStyle="1" w:styleId="PlainTextChar1">
    <w:name w:val="Plain Text Char1"/>
    <w:basedOn w:val="DefaultParagraphFont"/>
    <w:uiPriority w:val="99"/>
    <w:semiHidden/>
    <w:rsid w:val="001A42D8"/>
    <w:rPr>
      <w:rFonts w:ascii="Consolas" w:hAnsi="Consolas"/>
      <w:sz w:val="21"/>
      <w:szCs w:val="21"/>
    </w:rPr>
  </w:style>
  <w:style w:type="paragraph" w:customStyle="1" w:styleId="Default">
    <w:name w:val="Default"/>
    <w:rsid w:val="00337E8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04AD7"/>
    <w:rPr>
      <w:color w:val="605E5C"/>
      <w:shd w:val="clear" w:color="auto" w:fill="E1DFDD"/>
    </w:rPr>
  </w:style>
  <w:style w:type="paragraph" w:styleId="Revision">
    <w:name w:val="Revision"/>
    <w:hidden/>
    <w:uiPriority w:val="99"/>
    <w:semiHidden/>
    <w:rsid w:val="007835DB"/>
    <w:pPr>
      <w:spacing w:after="0" w:line="240" w:lineRule="auto"/>
    </w:pPr>
  </w:style>
  <w:style w:type="character" w:styleId="CommentReference">
    <w:name w:val="annotation reference"/>
    <w:basedOn w:val="DefaultParagraphFont"/>
    <w:uiPriority w:val="99"/>
    <w:semiHidden/>
    <w:unhideWhenUsed/>
    <w:rsid w:val="00F5121A"/>
    <w:rPr>
      <w:sz w:val="16"/>
      <w:szCs w:val="16"/>
    </w:rPr>
  </w:style>
  <w:style w:type="paragraph" w:styleId="CommentText">
    <w:name w:val="annotation text"/>
    <w:basedOn w:val="Normal"/>
    <w:link w:val="CommentTextChar"/>
    <w:uiPriority w:val="99"/>
    <w:unhideWhenUsed/>
    <w:rsid w:val="00F5121A"/>
    <w:pPr>
      <w:spacing w:line="240" w:lineRule="auto"/>
    </w:pPr>
    <w:rPr>
      <w:sz w:val="20"/>
      <w:szCs w:val="20"/>
    </w:rPr>
  </w:style>
  <w:style w:type="character" w:customStyle="1" w:styleId="CommentTextChar">
    <w:name w:val="Comment Text Char"/>
    <w:basedOn w:val="DefaultParagraphFont"/>
    <w:link w:val="CommentText"/>
    <w:uiPriority w:val="99"/>
    <w:rsid w:val="00F5121A"/>
    <w:rPr>
      <w:sz w:val="20"/>
      <w:szCs w:val="20"/>
    </w:rPr>
  </w:style>
  <w:style w:type="paragraph" w:styleId="CommentSubject">
    <w:name w:val="annotation subject"/>
    <w:basedOn w:val="CommentText"/>
    <w:next w:val="CommentText"/>
    <w:link w:val="CommentSubjectChar"/>
    <w:uiPriority w:val="99"/>
    <w:semiHidden/>
    <w:unhideWhenUsed/>
    <w:rsid w:val="00F5121A"/>
    <w:rPr>
      <w:b/>
      <w:bCs/>
    </w:rPr>
  </w:style>
  <w:style w:type="character" w:customStyle="1" w:styleId="CommentSubjectChar">
    <w:name w:val="Comment Subject Char"/>
    <w:basedOn w:val="CommentTextChar"/>
    <w:link w:val="CommentSubject"/>
    <w:uiPriority w:val="99"/>
    <w:semiHidden/>
    <w:rsid w:val="00F5121A"/>
    <w:rPr>
      <w:b/>
      <w:bCs/>
      <w:sz w:val="20"/>
      <w:szCs w:val="20"/>
    </w:rPr>
  </w:style>
  <w:style w:type="paragraph" w:customStyle="1" w:styleId="PCDBullet1">
    <w:name w:val="PCD Bullet 1"/>
    <w:basedOn w:val="Normal"/>
    <w:link w:val="PCDBullet1Char"/>
    <w:rsid w:val="00A930CE"/>
    <w:pPr>
      <w:numPr>
        <w:numId w:val="14"/>
      </w:numPr>
      <w:spacing w:before="60" w:after="60" w:line="240" w:lineRule="auto"/>
    </w:pPr>
    <w:rPr>
      <w:rFonts w:ascii="Times New Roman" w:eastAsia="Times New Roman" w:hAnsi="Times New Roman" w:cs="Times New Roman"/>
      <w:szCs w:val="24"/>
    </w:rPr>
  </w:style>
  <w:style w:type="character" w:customStyle="1" w:styleId="PCDBullet1Char">
    <w:name w:val="PCD Bullet 1 Char"/>
    <w:link w:val="PCDBullet1"/>
    <w:rsid w:val="00A930CE"/>
    <w:rPr>
      <w:rFonts w:ascii="Times New Roman" w:eastAsia="Times New Roman" w:hAnsi="Times New Roman" w:cs="Times New Roman"/>
      <w:szCs w:val="24"/>
    </w:rPr>
  </w:style>
  <w:style w:type="table" w:styleId="TableGrid">
    <w:name w:val="Table Grid"/>
    <w:basedOn w:val="TableNormal"/>
    <w:uiPriority w:val="59"/>
    <w:rsid w:val="000A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63512">
      <w:bodyDiv w:val="1"/>
      <w:marLeft w:val="0"/>
      <w:marRight w:val="0"/>
      <w:marTop w:val="0"/>
      <w:marBottom w:val="0"/>
      <w:divBdr>
        <w:top w:val="none" w:sz="0" w:space="0" w:color="auto"/>
        <w:left w:val="none" w:sz="0" w:space="0" w:color="auto"/>
        <w:bottom w:val="none" w:sz="0" w:space="0" w:color="auto"/>
        <w:right w:val="none" w:sz="0" w:space="0" w:color="auto"/>
      </w:divBdr>
    </w:div>
    <w:div w:id="375084955">
      <w:bodyDiv w:val="1"/>
      <w:marLeft w:val="0"/>
      <w:marRight w:val="0"/>
      <w:marTop w:val="0"/>
      <w:marBottom w:val="0"/>
      <w:divBdr>
        <w:top w:val="none" w:sz="0" w:space="0" w:color="auto"/>
        <w:left w:val="none" w:sz="0" w:space="0" w:color="auto"/>
        <w:bottom w:val="none" w:sz="0" w:space="0" w:color="auto"/>
        <w:right w:val="none" w:sz="0" w:space="0" w:color="auto"/>
      </w:divBdr>
      <w:divsChild>
        <w:div w:id="157505002">
          <w:marLeft w:val="0"/>
          <w:marRight w:val="0"/>
          <w:marTop w:val="0"/>
          <w:marBottom w:val="0"/>
          <w:divBdr>
            <w:top w:val="none" w:sz="0" w:space="0" w:color="auto"/>
            <w:left w:val="none" w:sz="0" w:space="0" w:color="auto"/>
            <w:bottom w:val="none" w:sz="0" w:space="0" w:color="auto"/>
            <w:right w:val="none" w:sz="0" w:space="0" w:color="auto"/>
          </w:divBdr>
        </w:div>
        <w:div w:id="939797910">
          <w:marLeft w:val="0"/>
          <w:marRight w:val="0"/>
          <w:marTop w:val="0"/>
          <w:marBottom w:val="0"/>
          <w:divBdr>
            <w:top w:val="none" w:sz="0" w:space="0" w:color="auto"/>
            <w:left w:val="none" w:sz="0" w:space="0" w:color="auto"/>
            <w:bottom w:val="none" w:sz="0" w:space="0" w:color="auto"/>
            <w:right w:val="none" w:sz="0" w:space="0" w:color="auto"/>
          </w:divBdr>
        </w:div>
        <w:div w:id="1910536214">
          <w:marLeft w:val="0"/>
          <w:marRight w:val="0"/>
          <w:marTop w:val="0"/>
          <w:marBottom w:val="0"/>
          <w:divBdr>
            <w:top w:val="none" w:sz="0" w:space="0" w:color="auto"/>
            <w:left w:val="none" w:sz="0" w:space="0" w:color="auto"/>
            <w:bottom w:val="none" w:sz="0" w:space="0" w:color="auto"/>
            <w:right w:val="none" w:sz="0" w:space="0" w:color="auto"/>
          </w:divBdr>
        </w:div>
      </w:divsChild>
    </w:div>
    <w:div w:id="667251683">
      <w:bodyDiv w:val="1"/>
      <w:marLeft w:val="0"/>
      <w:marRight w:val="0"/>
      <w:marTop w:val="0"/>
      <w:marBottom w:val="0"/>
      <w:divBdr>
        <w:top w:val="none" w:sz="0" w:space="0" w:color="auto"/>
        <w:left w:val="none" w:sz="0" w:space="0" w:color="auto"/>
        <w:bottom w:val="none" w:sz="0" w:space="0" w:color="auto"/>
        <w:right w:val="none" w:sz="0" w:space="0" w:color="auto"/>
      </w:divBdr>
    </w:div>
    <w:div w:id="695155853">
      <w:bodyDiv w:val="1"/>
      <w:marLeft w:val="0"/>
      <w:marRight w:val="0"/>
      <w:marTop w:val="0"/>
      <w:marBottom w:val="0"/>
      <w:divBdr>
        <w:top w:val="none" w:sz="0" w:space="0" w:color="auto"/>
        <w:left w:val="none" w:sz="0" w:space="0" w:color="auto"/>
        <w:bottom w:val="none" w:sz="0" w:space="0" w:color="auto"/>
        <w:right w:val="none" w:sz="0" w:space="0" w:color="auto"/>
      </w:divBdr>
    </w:div>
    <w:div w:id="766850901">
      <w:bodyDiv w:val="1"/>
      <w:marLeft w:val="0"/>
      <w:marRight w:val="0"/>
      <w:marTop w:val="0"/>
      <w:marBottom w:val="0"/>
      <w:divBdr>
        <w:top w:val="none" w:sz="0" w:space="0" w:color="auto"/>
        <w:left w:val="none" w:sz="0" w:space="0" w:color="auto"/>
        <w:bottom w:val="none" w:sz="0" w:space="0" w:color="auto"/>
        <w:right w:val="none" w:sz="0" w:space="0" w:color="auto"/>
      </w:divBdr>
    </w:div>
    <w:div w:id="1046755085">
      <w:bodyDiv w:val="1"/>
      <w:marLeft w:val="0"/>
      <w:marRight w:val="0"/>
      <w:marTop w:val="0"/>
      <w:marBottom w:val="0"/>
      <w:divBdr>
        <w:top w:val="none" w:sz="0" w:space="0" w:color="auto"/>
        <w:left w:val="none" w:sz="0" w:space="0" w:color="auto"/>
        <w:bottom w:val="none" w:sz="0" w:space="0" w:color="auto"/>
        <w:right w:val="none" w:sz="0" w:space="0" w:color="auto"/>
      </w:divBdr>
    </w:div>
    <w:div w:id="1957058285">
      <w:bodyDiv w:val="1"/>
      <w:marLeft w:val="0"/>
      <w:marRight w:val="0"/>
      <w:marTop w:val="0"/>
      <w:marBottom w:val="0"/>
      <w:divBdr>
        <w:top w:val="none" w:sz="0" w:space="0" w:color="auto"/>
        <w:left w:val="none" w:sz="0" w:space="0" w:color="auto"/>
        <w:bottom w:val="none" w:sz="0" w:space="0" w:color="auto"/>
        <w:right w:val="none" w:sz="0" w:space="0" w:color="auto"/>
      </w:divBdr>
    </w:div>
    <w:div w:id="2038044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4471</TotalTime>
  <Pages>6</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Pereira</dc:creator>
  <cp:keywords/>
  <dc:description/>
  <cp:lastModifiedBy>Sandra Pereira</cp:lastModifiedBy>
  <cp:revision>114</cp:revision>
  <cp:lastPrinted>2024-08-23T18:21:00Z</cp:lastPrinted>
  <dcterms:created xsi:type="dcterms:W3CDTF">2024-05-28T18:05:00Z</dcterms:created>
  <dcterms:modified xsi:type="dcterms:W3CDTF">2024-10-28T20:57:00Z</dcterms:modified>
</cp:coreProperties>
</file>